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0" w:rightFromText="0" w:topFromText="0" w:bottomFromText="0" w:vertAnchor="text" w:horzAnchor="margin" w:tblpX="229" w:tblpY="-15"/>
        <w:tblOverlap w:val="neve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345"/>
      </w:tblGrid>
      <w:tr>
        <w:trPr>
          <w:trHeight w:val="400" w:hRule="atLeast"/>
        </w:trPr>
        <w:tc>
          <w:tcPr>
            <w:tcW w:w="10031" w:type="dxa"/>
            <w:gridSpan w:val="3"/>
            <w:vAlign w:val="top"/>
          </w:tcPr>
          <w:p>
            <w:pPr>
              <w:pStyle w:val="0"/>
              <w:suppressAutoHyphens w:val="1"/>
              <w:kinsoku w:val="0"/>
              <w:autoSpaceDE w:val="0"/>
              <w:autoSpaceDN w:val="0"/>
              <w:spacing w:line="366" w:lineRule="atLeast"/>
              <w:jc w:val="center"/>
              <w:rPr>
                <w:rFonts w:hint="default" w:ascii="ＭＳ ゴシック" w:hAnsi="ＭＳ ゴシック"/>
              </w:rPr>
            </w:pPr>
            <w:r>
              <w:rPr>
                <w:rFonts w:hint="eastAsia" w:asciiTheme="majorEastAsia" w:hAnsiTheme="majorEastAsia" w:eastAsiaTheme="majorEastAsia"/>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5"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5"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様式第５－（ロ）－①</w:t>
      </w:r>
    </w:p>
    <w:tbl>
      <w:tblPr>
        <w:tblStyle w:val="11"/>
        <w:tblW w:w="10035" w:type="dxa"/>
        <w:jc w:val="left"/>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35"/>
      </w:tblGrid>
      <w:tr>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中小企業信用保険法第２条第５項第５号の規定による認定申請書（ロ－①）</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695" w:rightChars="331"/>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令和</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津</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野</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町</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長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殿</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before="180" w:beforeLines="50" w:beforeAutospacing="0" w:after="180" w:afterLines="50" w:afterAutospacing="0"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印</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240" w:lineRule="exact"/>
              <w:ind w:right="487" w:rightChars="23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５項第５号の規定に基づき認定されるようお願いします。</w:t>
            </w:r>
          </w:p>
          <w:p>
            <w:pPr>
              <w:pStyle w:val="39"/>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3"/>
              <w:gridCol w:w="3265"/>
              <w:gridCol w:w="3265"/>
            </w:tblGrid>
            <w:tr>
              <w:trPr>
                <w:trHeight w:val="366" w:hRule="atLeast"/>
              </w:trPr>
              <w:tc>
                <w:tcPr>
                  <w:tcW w:w="32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p>
              </w:tc>
              <w:tc>
                <w:tcPr>
                  <w:tcW w:w="32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r>
              <w:trPr>
                <w:trHeight w:val="381" w:hRule="atLeast"/>
              </w:trPr>
              <w:tc>
                <w:tcPr>
                  <w:tcW w:w="32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①原油等の仕入単価の上昇（注２）</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Ｅ</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上昇率　　　　　　　　％</w:t>
            </w:r>
          </w:p>
          <w:p>
            <w:pPr>
              <w:pStyle w:val="0"/>
              <w:suppressAutoHyphens w:val="1"/>
              <w:kinsoku w:val="0"/>
              <w:wordWrap w:val="0"/>
              <w:overflowPunct w:val="0"/>
              <w:autoSpaceDE w:val="0"/>
              <w:autoSpaceDN w:val="0"/>
              <w:adjustRightInd w:val="0"/>
              <w:spacing w:before="180" w:beforeLines="50" w:beforeAutospacing="0"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Ｅ：原油等の最近１か月間における平均仕入れ単価</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before="180" w:beforeLines="50" w:beforeAutospacing="0"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ｅ：Ｅの期間に対応する前年１か月間の平均仕入れ単価</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円（注４）</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②原油等が売上原価に占める割合（注２）</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Ｓ</w:t>
            </w:r>
            <w:r>
              <w:rPr>
                <w:rFonts w:hint="default"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依存率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before="180" w:beforeLines="50" w:beforeAutospacing="0"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Ｃ：申込時点における最新の売上原価</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before="180" w:beforeLines="50" w:beforeAutospacing="0"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Ｓ：Ｃの売上原価に対応する原油等の仕入価格</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③製品等価格への転嫁の状況（注３）</w:t>
            </w:r>
          </w:p>
          <w:p>
            <w:pPr>
              <w:pStyle w:val="0"/>
              <w:suppressAutoHyphens w:val="1"/>
              <w:kinsoku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Ｐ＝</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before="180" w:beforeLines="50" w:beforeAutospacing="0"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Ａ：申込時点における最近３か月間の原油等の仕入価格</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before="180" w:beforeLines="50" w:beforeAutospacing="0"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ａ：Ａの期間に対応する前年３か月間の原油等の仕入価格</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before="180" w:beforeLines="50" w:beforeAutospacing="0"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Ｂ：申込時点における最近３か月間の売上高</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円（注４）</w:t>
            </w:r>
          </w:p>
          <w:p>
            <w:pPr>
              <w:pStyle w:val="0"/>
              <w:suppressAutoHyphens w:val="1"/>
              <w:kinsoku w:val="0"/>
              <w:wordWrap w:val="0"/>
              <w:overflowPunct w:val="0"/>
              <w:autoSpaceDE w:val="0"/>
              <w:autoSpaceDN w:val="0"/>
              <w:adjustRightInd w:val="0"/>
              <w:spacing w:before="180" w:beforeLines="50" w:beforeAutospacing="0"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ｂ：Ｂの期間に対応する前年３か月間の売上高</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円（注４）</w:t>
            </w:r>
          </w:p>
          <w:p>
            <w:pPr>
              <w:pStyle w:val="0"/>
              <w:suppressAutoHyphens w:val="1"/>
              <w:kinsoku w:val="0"/>
              <w:wordWrap w:val="0"/>
              <w:overflowPunct w:val="0"/>
              <w:autoSpaceDE w:val="0"/>
              <w:autoSpaceDN w:val="0"/>
              <w:adjustRightInd w:val="0"/>
              <w:spacing w:line="100" w:lineRule="exac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spacing w:line="23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（注２）上昇率及び依存率が２０％以上となっていること。</w:t>
      </w:r>
    </w:p>
    <w:p>
      <w:pPr>
        <w:pStyle w:val="0"/>
        <w:suppressAutoHyphens w:val="1"/>
        <w:spacing w:line="230" w:lineRule="exact"/>
        <w:ind w:left="738" w:hanging="738"/>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（注３）Ｐ＞０となっていること。</w:t>
      </w:r>
    </w:p>
    <w:p>
      <w:pPr>
        <w:pStyle w:val="0"/>
        <w:suppressAutoHyphens w:val="1"/>
        <w:spacing w:line="230" w:lineRule="exact"/>
        <w:ind w:left="738" w:hanging="738"/>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（注４）申請者全体の値を記載。</w:t>
      </w:r>
    </w:p>
    <w:p>
      <w:pPr>
        <w:pStyle w:val="0"/>
        <w:suppressAutoHyphens w:val="1"/>
        <w:spacing w:line="23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0"/>
        <w:suppressAutoHyphens w:val="1"/>
        <w:spacing w:line="23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①　本認定とは別に、金融機関及び信用保証協会による金融上の審査があります。</w:t>
      </w:r>
    </w:p>
    <w:p>
      <w:pPr>
        <w:pStyle w:val="0"/>
        <w:widowControl w:val="1"/>
        <w:spacing w:line="230" w:lineRule="exact"/>
        <w:ind w:left="540" w:hanging="540" w:hangingChars="257"/>
        <w:jc w:val="left"/>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②　市町村長又は特別区長から認定を受けた後、本認定の有効期間内に金融機関又は信用保証協会に対し</w:t>
      </w:r>
      <w:r>
        <w:rPr>
          <w:rFonts w:hint="eastAsia"/>
        </w:rPr>
        <mc:AlternateContent>
          <mc:Choice Requires="wps">
            <w:drawing>
              <wp:anchor distT="0" distB="0" distL="114300" distR="114300" simplePos="0" relativeHeight="58" behindDoc="0" locked="0" layoutInCell="1" hidden="0" allowOverlap="1">
                <wp:simplePos x="0" y="0"/>
                <wp:positionH relativeFrom="column">
                  <wp:posOffset>113030</wp:posOffset>
                </wp:positionH>
                <wp:positionV relativeFrom="paragraph">
                  <wp:posOffset>277495</wp:posOffset>
                </wp:positionV>
                <wp:extent cx="6339840" cy="95567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6339840" cy="955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Theme="majorEastAsia" w:hAnsiTheme="majorEastAsia" w:eastAsiaTheme="majorEastAsia"/>
                              </w:rPr>
                            </w:pPr>
                            <w:r>
                              <w:rPr>
                                <w:rFonts w:hint="eastAsia"/>
                              </w:rPr>
                              <w:t>　　　</w:t>
                            </w:r>
                            <w:r>
                              <w:rPr>
                                <w:rFonts w:hint="eastAsia" w:asciiTheme="majorEastAsia" w:hAnsiTheme="majorEastAsia" w:eastAsiaTheme="majorEastAsia"/>
                              </w:rPr>
                              <w:t>第　　　　号</w:t>
                            </w:r>
                          </w:p>
                          <w:p>
                            <w:pPr>
                              <w:pStyle w:val="0"/>
                              <w:rPr>
                                <w:rFonts w:hint="default" w:asciiTheme="majorEastAsia" w:hAnsiTheme="majorEastAsia" w:eastAsiaTheme="majorEastAsia"/>
                              </w:rPr>
                            </w:pPr>
                            <w:r>
                              <w:rPr>
                                <w:rFonts w:hint="eastAsia" w:asciiTheme="majorEastAsia" w:hAnsiTheme="majorEastAsia" w:eastAsiaTheme="majorEastAsia"/>
                              </w:rPr>
                              <w:t>　　　　令和　　　年　　　月　　　日</w:t>
                            </w:r>
                          </w:p>
                          <w:p>
                            <w:pPr>
                              <w:pStyle w:val="0"/>
                              <w:rPr>
                                <w:rFonts w:hint="default" w:asciiTheme="majorEastAsia" w:hAnsiTheme="majorEastAsia" w:eastAsiaTheme="majorEastAsia"/>
                              </w:rPr>
                            </w:pPr>
                            <w:r>
                              <w:rPr>
                                <w:rFonts w:hint="eastAsia" w:asciiTheme="majorEastAsia" w:hAnsiTheme="majorEastAsia" w:eastAsiaTheme="majorEastAsia"/>
                              </w:rPr>
                              <w:t>　　　　　　申請のとおり、相違ないことを認定します。</w:t>
                            </w:r>
                          </w:p>
                          <w:p>
                            <w:pPr>
                              <w:pStyle w:val="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　認定者名　　</w:t>
                            </w:r>
                            <w:r>
                              <w:rPr>
                                <w:rFonts w:hint="eastAsia" w:asciiTheme="majorEastAsia" w:hAnsiTheme="majorEastAsia" w:eastAsiaTheme="majorEastAsia"/>
                              </w:rPr>
                              <w:t xml:space="preserve"> </w:t>
                            </w:r>
                            <w:r>
                              <w:rPr>
                                <w:rFonts w:hint="eastAsia" w:asciiTheme="majorEastAsia" w:hAnsiTheme="majorEastAsia" w:eastAsiaTheme="majorEastAsia"/>
                              </w:rPr>
                              <w:t>津野町長　　　　　　</w:t>
                            </w:r>
                            <w:r>
                              <w:rPr>
                                <w:rFonts w:hint="eastAsia" w:asciiTheme="majorEastAsia" w:hAnsiTheme="majorEastAsia" w:eastAsiaTheme="majorEastAsia"/>
                              </w:rPr>
                              <w:t xml:space="preserve"> </w:t>
                            </w:r>
                            <w:r>
                              <w:rPr>
                                <w:rFonts w:hint="default" w:asciiTheme="majorEastAsia" w:hAnsiTheme="majorEastAsia" w:eastAsiaTheme="majorEastAsia"/>
                              </w:rPr>
                              <w:t xml:space="preserve"> </w:t>
                            </w:r>
                            <w:r>
                              <w:rPr>
                                <w:rFonts w:hint="eastAsia" w:asciiTheme="majorEastAsia" w:hAnsiTheme="majorEastAsia" w:eastAsiaTheme="majorEastAsia"/>
                              </w:rPr>
                              <w:t>　　　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21.85pt;mso-position-vertical-relative:text;mso-position-horizontal-relative:text;v-text-anchor:top;position:absolute;height:75.25pt;mso-wrap-distance-top:0pt;width:499.2pt;mso-wrap-distance-left:9pt;margin-left:8.9pt;z-index:58;" o:spid="_x0000_s1026" o:allowincell="t" o:allowoverlap="t" filled="t" fillcolor="#ffffff [3201]" stroked="t" strokecolor="#000000" strokeweight="0.5pt" o:spt="202" type="#_x0000_t202">
                <v:fill/>
                <v:stroke filltype="solid"/>
                <v:textbox style="layout-flow:horizontal;">
                  <w:txbxContent>
                    <w:p>
                      <w:pPr>
                        <w:pStyle w:val="0"/>
                        <w:rPr>
                          <w:rFonts w:hint="default" w:asciiTheme="majorEastAsia" w:hAnsiTheme="majorEastAsia" w:eastAsiaTheme="majorEastAsia"/>
                        </w:rPr>
                      </w:pPr>
                      <w:r>
                        <w:rPr>
                          <w:rFonts w:hint="eastAsia"/>
                        </w:rPr>
                        <w:t>　　　</w:t>
                      </w:r>
                      <w:r>
                        <w:rPr>
                          <w:rFonts w:hint="eastAsia" w:asciiTheme="majorEastAsia" w:hAnsiTheme="majorEastAsia" w:eastAsiaTheme="majorEastAsia"/>
                        </w:rPr>
                        <w:t>第　　　　号</w:t>
                      </w:r>
                    </w:p>
                    <w:p>
                      <w:pPr>
                        <w:pStyle w:val="0"/>
                        <w:rPr>
                          <w:rFonts w:hint="default" w:asciiTheme="majorEastAsia" w:hAnsiTheme="majorEastAsia" w:eastAsiaTheme="majorEastAsia"/>
                        </w:rPr>
                      </w:pPr>
                      <w:r>
                        <w:rPr>
                          <w:rFonts w:hint="eastAsia" w:asciiTheme="majorEastAsia" w:hAnsiTheme="majorEastAsia" w:eastAsiaTheme="majorEastAsia"/>
                        </w:rPr>
                        <w:t>　　　　令和　　　年　　　月　　　日</w:t>
                      </w:r>
                    </w:p>
                    <w:p>
                      <w:pPr>
                        <w:pStyle w:val="0"/>
                        <w:rPr>
                          <w:rFonts w:hint="default" w:asciiTheme="majorEastAsia" w:hAnsiTheme="majorEastAsia" w:eastAsiaTheme="majorEastAsia"/>
                        </w:rPr>
                      </w:pPr>
                      <w:r>
                        <w:rPr>
                          <w:rFonts w:hint="eastAsia" w:asciiTheme="majorEastAsia" w:hAnsiTheme="majorEastAsia" w:eastAsiaTheme="majorEastAsia"/>
                        </w:rPr>
                        <w:t>　　　　　　申請のとおり、相違ないことを認定します。</w:t>
                      </w:r>
                    </w:p>
                    <w:p>
                      <w:pPr>
                        <w:pStyle w:val="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　認定者名　　</w:t>
                      </w:r>
                      <w:r>
                        <w:rPr>
                          <w:rFonts w:hint="eastAsia" w:asciiTheme="majorEastAsia" w:hAnsiTheme="majorEastAsia" w:eastAsiaTheme="majorEastAsia"/>
                        </w:rPr>
                        <w:t xml:space="preserve"> </w:t>
                      </w:r>
                      <w:r>
                        <w:rPr>
                          <w:rFonts w:hint="eastAsia" w:asciiTheme="majorEastAsia" w:hAnsiTheme="majorEastAsia" w:eastAsiaTheme="majorEastAsia"/>
                        </w:rPr>
                        <w:t>津野町長　　　　　　</w:t>
                      </w:r>
                      <w:r>
                        <w:rPr>
                          <w:rFonts w:hint="eastAsia" w:asciiTheme="majorEastAsia" w:hAnsiTheme="majorEastAsia" w:eastAsiaTheme="majorEastAsia"/>
                        </w:rPr>
                        <w:t xml:space="preserve"> </w:t>
                      </w:r>
                      <w:r>
                        <w:rPr>
                          <w:rFonts w:hint="default" w:asciiTheme="majorEastAsia" w:hAnsiTheme="majorEastAsia" w:eastAsiaTheme="majorEastAsia"/>
                        </w:rPr>
                        <w:t xml:space="preserve"> </w:t>
                      </w:r>
                      <w:r>
                        <w:rPr>
                          <w:rFonts w:hint="eastAsia" w:asciiTheme="majorEastAsia" w:hAnsiTheme="majorEastAsia" w:eastAsiaTheme="majorEastAsia"/>
                        </w:rPr>
                        <w:t>　　　印</w:t>
                      </w:r>
                    </w:p>
                  </w:txbxContent>
                </v:textbox>
                <v:imagedata o:title=""/>
                <w10:wrap type="none" anchorx="text" anchory="text"/>
              </v:shape>
            </w:pict>
          </mc:Fallback>
        </mc:AlternateContent>
      </w:r>
      <w:r>
        <w:rPr>
          <w:rFonts w:hint="eastAsia" w:ascii="ＭＳ ゴシック" w:hAnsi="ＭＳ ゴシック" w:eastAsia="ＭＳ ゴシック"/>
          <w:color w:val="000000"/>
          <w:kern w:val="0"/>
        </w:rPr>
        <w:t>て、経営安定関連保証の申込みを行うことが必要です。</w:t>
      </w:r>
    </w:p>
    <w:p>
      <w:pPr>
        <w:pStyle w:val="0"/>
        <w:widowControl w:val="1"/>
        <w:spacing w:line="300" w:lineRule="exact"/>
        <w:ind w:left="617" w:hanging="617" w:hangingChars="257"/>
        <w:jc w:val="right"/>
        <w:rPr>
          <w:rFonts w:hint="default" w:ascii="ＭＳ ゴシック" w:hAnsi="ＭＳ ゴシック" w:eastAsia="ＭＳ ゴシック"/>
          <w:sz w:val="24"/>
        </w:rPr>
      </w:pPr>
      <w:r>
        <w:rPr>
          <w:rFonts w:hint="default" w:ascii="ＭＳ ゴシック" w:hAnsi="ＭＳ ゴシック" w:eastAsia="ＭＳ ゴシック"/>
          <w:sz w:val="24"/>
        </w:rPr>
        <w:br w:type="page"/>
      </w:r>
    </w:p>
    <w:tbl>
      <w:tblPr>
        <w:tblStyle w:val="11"/>
        <w:tblW w:w="3342" w:type="dxa"/>
        <w:jc w:val="left"/>
        <w:tblInd w:w="67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2"/>
      </w:tblGrid>
      <w:tr>
        <w:trPr>
          <w:trHeight w:val="400" w:hRule="atLeast"/>
        </w:trPr>
        <w:tc>
          <w:tcPr>
            <w:tcW w:w="334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uppressAutoHyphens w:val="1"/>
              <w:kinsoku w:val="0"/>
              <w:autoSpaceDE w:val="0"/>
              <w:autoSpaceDN w:val="0"/>
              <w:spacing w:line="366" w:lineRule="atLeast"/>
              <w:jc w:val="center"/>
              <w:rPr>
                <w:rFonts w:hint="default" w:ascii="ＭＳ ゴシック" w:hAnsi="ＭＳ ゴシック"/>
              </w:rPr>
            </w:pPr>
            <w:r>
              <w:rPr>
                <w:rFonts w:hint="eastAsia" w:asciiTheme="majorEastAsia" w:hAnsiTheme="majorEastAsia" w:eastAsiaTheme="majorEastAsia"/>
              </w:rPr>
              <w:t>認定権者記載欄</w:t>
            </w:r>
          </w:p>
        </w:tc>
      </w:tr>
      <w:tr>
        <w:trPr>
          <w:trHeight w:val="273" w:hRule="atLeast"/>
        </w:trPr>
        <w:tc>
          <w:tcPr>
            <w:tcW w:w="334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様式第５－（ロ）－②</w:t>
      </w:r>
    </w:p>
    <w:tbl>
      <w:tblPr>
        <w:tblStyle w:val="11"/>
        <w:tblW w:w="10035" w:type="dxa"/>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35"/>
      </w:tblGrid>
      <w:tr>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中小企業信用保険法第２条第５項第５号の規定による認定申請書（ロ－②）</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695" w:rightChars="331"/>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令和</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津</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野</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町</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長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殿</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before="180" w:beforeLines="50" w:beforeAutospacing="0"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印</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1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487" w:rightChars="23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w:t>
            </w:r>
            <w:r>
              <w:rPr>
                <w:rFonts w:hint="eastAsia" w:ascii="ＭＳ ゴシック" w:hAnsi="ＭＳ ゴシック" w:eastAsia="ＭＳ ゴシック"/>
                <w:color w:val="000000"/>
                <w:kern w:val="0"/>
                <w:u w:val="single" w:color="auto"/>
              </w:rPr>
              <w:t>　　　　　　業（注２）</w:t>
            </w:r>
            <w:r>
              <w:rPr>
                <w:rFonts w:hint="eastAsia" w:ascii="ＭＳ ゴシック" w:hAnsi="ＭＳ ゴシック" w:eastAsia="ＭＳ ゴシック"/>
                <w:color w:val="000000"/>
                <w:kern w:val="0"/>
              </w:rPr>
              <w:t>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５項第５号の規定に基づき認定されるようお願いします。</w:t>
            </w: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①原油等の仕入単価の上昇（注３）</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before="36" w:beforeLines="10" w:beforeAutospacing="0" w:line="240" w:lineRule="exac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Ｅ</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主たる業種に係る上昇率</w:t>
            </w:r>
            <w:r>
              <w:rPr>
                <w:rFonts w:hint="default" w:ascii="ＭＳ ゴシック" w:hAnsi="ＭＳ ゴシック" w:eastAsia="ＭＳ ゴシック"/>
                <w:color w:val="000000"/>
                <w:kern w:val="0"/>
                <w:u w:val="single" w:color="auto"/>
              </w:rPr>
              <w:softHyphen/>
            </w:r>
            <w:r>
              <w:rPr>
                <w:rFonts w:hint="default" w:ascii="ＭＳ ゴシック" w:hAnsi="ＭＳ ゴシック" w:eastAsia="ＭＳ ゴシック"/>
                <w:color w:val="000000"/>
                <w:kern w:val="0"/>
                <w:u w:val="single" w:color="auto"/>
              </w:rPr>
              <w:softHyphen/>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w:t>
            </w:r>
          </w:p>
          <w:p>
            <w:pPr>
              <w:pStyle w:val="0"/>
              <w:suppressAutoHyphens w:val="1"/>
              <w:kinsoku w:val="0"/>
              <w:wordWrap w:val="0"/>
              <w:overflowPunct w:val="0"/>
              <w:autoSpaceDE w:val="0"/>
              <w:autoSpaceDN w:val="0"/>
              <w:adjustRightInd w:val="0"/>
              <w:spacing w:before="36" w:beforeLines="10" w:beforeAutospacing="0"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全体に係る上昇率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w:t>
            </w:r>
          </w:p>
          <w:p>
            <w:pPr>
              <w:pStyle w:val="0"/>
              <w:suppressAutoHyphens w:val="1"/>
              <w:kinsoku w:val="0"/>
              <w:wordWrap w:val="0"/>
              <w:overflowPunct w:val="0"/>
              <w:autoSpaceDE w:val="0"/>
              <w:autoSpaceDN w:val="0"/>
              <w:adjustRightInd w:val="0"/>
              <w:spacing w:before="36" w:beforeLines="10" w:beforeAutospacing="0"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Ｅ：原油等の最近１か月間における平均仕入れ単価</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主たる業種に係る平均仕入単価　　　　円</w:t>
            </w:r>
          </w:p>
          <w:p>
            <w:pPr>
              <w:pStyle w:val="0"/>
              <w:suppressAutoHyphens w:val="1"/>
              <w:kinsoku w:val="0"/>
              <w:overflowPunct w:val="0"/>
              <w:autoSpaceDE w:val="0"/>
              <w:autoSpaceDN w:val="0"/>
              <w:adjustRightInd w:val="0"/>
              <w:spacing w:before="36" w:beforeLines="10" w:beforeAutospacing="0" w:line="240" w:lineRule="exact"/>
              <w:ind w:firstLine="5324" w:firstLineChars="220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u w:val="single" w:color="auto"/>
              </w:rPr>
              <w:t>全体に係る平均仕入単価</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before="36" w:beforeLines="10" w:beforeAutospacing="0"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ｅ：Ｅの期間に対応する前年１か月間の平均仕入れ単価</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主たる業種に係る平均仕入単価</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spacing w:val="16"/>
                <w:kern w:val="0"/>
                <w:u w:val="single" w:color="auto"/>
              </w:rPr>
              <w:t>　円</w:t>
            </w:r>
          </w:p>
          <w:p>
            <w:pPr>
              <w:pStyle w:val="0"/>
              <w:suppressAutoHyphens w:val="1"/>
              <w:kinsoku w:val="0"/>
              <w:overflowPunct w:val="0"/>
              <w:autoSpaceDE w:val="0"/>
              <w:autoSpaceDN w:val="0"/>
              <w:adjustRightInd w:val="0"/>
              <w:spacing w:before="36" w:beforeLines="10" w:beforeAutospacing="0" w:line="240" w:lineRule="exact"/>
              <w:ind w:firstLine="5808" w:firstLineChars="240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u w:val="single" w:color="auto"/>
              </w:rPr>
              <w:t>全体に係る平均仕入単価</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before="36" w:beforeLines="10" w:beforeAutospacing="0"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②原油等が売上原価に占める割合（注３）</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before="36" w:beforeLines="10" w:beforeAutospacing="0" w:line="240" w:lineRule="exac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Ｓ</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主たる業種に係る依存率</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before="36" w:beforeLines="10" w:beforeAutospacing="0"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全体に係る依存率</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w:t>
            </w:r>
          </w:p>
          <w:p>
            <w:pPr>
              <w:pStyle w:val="0"/>
              <w:suppressAutoHyphens w:val="1"/>
              <w:kinsoku w:val="0"/>
              <w:wordWrap w:val="0"/>
              <w:overflowPunct w:val="0"/>
              <w:autoSpaceDE w:val="0"/>
              <w:autoSpaceDN w:val="0"/>
              <w:adjustRightInd w:val="0"/>
              <w:spacing w:before="36" w:beforeLines="10" w:beforeAutospacing="0"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Ｃ：申込時点における最新の売上原価</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主たる業種に係る売上原価</w:t>
            </w:r>
            <w:r>
              <w:rPr>
                <w:rFonts w:hint="eastAsia" w:ascii="ＭＳ ゴシック" w:hAnsi="ＭＳ ゴシック" w:eastAsia="ＭＳ ゴシック"/>
                <w:color w:val="000000"/>
                <w:kern w:val="0"/>
                <w:u w:val="single" w:color="000000"/>
              </w:rPr>
              <w:t>　　　　　　　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before="36" w:beforeLines="10" w:beforeAutospacing="0"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全体にかかる売上原価</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before="36" w:beforeLines="10" w:beforeAutospacing="0"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Ｓ：Ｃの売上原価に対応する原油等の仕入価格</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主たる業種に係る仕入れ価格</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before="36" w:beforeLines="10" w:beforeAutospacing="0"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全体に係る仕入れ価格</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before="36" w:beforeLines="10" w:beforeAutospacing="0"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③製品等価格への転嫁の状況（注４）</w:t>
            </w:r>
          </w:p>
          <w:p>
            <w:pPr>
              <w:pStyle w:val="0"/>
              <w:tabs>
                <w:tab w:val="center" w:leader="none" w:pos="4252"/>
                <w:tab w:val="right" w:leader="none" w:pos="8504"/>
              </w:tabs>
              <w:suppressAutoHyphens w:val="1"/>
              <w:kinsoku w:val="0"/>
              <w:overflowPunct w:val="0"/>
              <w:autoSpaceDE w:val="0"/>
              <w:autoSpaceDN w:val="0"/>
              <w:adjustRightInd w:val="0"/>
              <w:snapToGrid w:val="0"/>
              <w:spacing w:before="36" w:beforeLines="10" w:beforeAutospacing="0" w:line="230" w:lineRule="exac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主たる業種に係る転嫁の状況　Ｐ＝　　　　</w:t>
            </w:r>
          </w:p>
          <w:p>
            <w:pPr>
              <w:pStyle w:val="0"/>
              <w:suppressAutoHyphens w:val="1"/>
              <w:kinsoku w:val="0"/>
              <w:wordWrap w:val="0"/>
              <w:overflowPunct w:val="0"/>
              <w:autoSpaceDE w:val="0"/>
              <w:autoSpaceDN w:val="0"/>
              <w:adjustRightInd w:val="0"/>
              <w:spacing w:before="36" w:beforeLines="10" w:beforeAutospacing="0" w:line="230" w:lineRule="exac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全体に係る転嫁の状況</w:t>
            </w:r>
            <w:r>
              <w:rPr>
                <w:rFonts w:hint="eastAsia" w:ascii="ＭＳ ゴシック" w:hAnsi="ＭＳ ゴシック" w:eastAsia="ＭＳ ゴシック"/>
                <w:color w:val="000000"/>
                <w:kern w:val="0"/>
                <w:u w:val="single" w:color="000000"/>
              </w:rPr>
              <w:t>　Ｐ＝</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before="36" w:beforeLines="10" w:beforeAutospacing="0"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Ａ：申込時点における最近３か月間の原油等の仕入価格</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主たる業種に係る仕入価格</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before="36" w:beforeLines="10" w:beforeAutospacing="0"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全体に係る仕入価格</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before="36" w:beforeLines="10" w:beforeAutospacing="0"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ａ：Ａの期間に対応する前年３か月間の原油等の仕入価格</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主たる業種に係る仕入価格</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before="36" w:beforeLines="10" w:beforeAutospacing="0"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全体に係る仕入価格　　　　　　　　円</w:t>
            </w:r>
          </w:p>
          <w:p>
            <w:pPr>
              <w:pStyle w:val="0"/>
              <w:suppressAutoHyphens w:val="1"/>
              <w:kinsoku w:val="0"/>
              <w:wordWrap w:val="0"/>
              <w:overflowPunct w:val="0"/>
              <w:autoSpaceDE w:val="0"/>
              <w:autoSpaceDN w:val="0"/>
              <w:adjustRightInd w:val="0"/>
              <w:spacing w:before="36" w:beforeLines="10" w:beforeAutospacing="0"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Ｂ：申込時点における最近３か月間の売上高</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主たる業種に係る売上高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before="36" w:beforeLines="10" w:beforeAutospacing="0"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全体に係る売上高　　　　　　　　　　円</w:t>
            </w:r>
          </w:p>
          <w:p>
            <w:pPr>
              <w:pStyle w:val="0"/>
              <w:suppressAutoHyphens w:val="1"/>
              <w:kinsoku w:val="0"/>
              <w:wordWrap w:val="0"/>
              <w:overflowPunct w:val="0"/>
              <w:autoSpaceDE w:val="0"/>
              <w:autoSpaceDN w:val="0"/>
              <w:adjustRightInd w:val="0"/>
              <w:spacing w:before="36" w:beforeLines="10" w:beforeAutospacing="0"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ｂ：Ｂの期間に対応する前年３か月間の売上高</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主たる業種に係る売上高</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before="36" w:beforeLines="10" w:beforeAutospacing="0"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全体に係る売上高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before="36" w:beforeLines="10" w:beforeAutospacing="0" w:line="100" w:lineRule="exact"/>
              <w:jc w:val="left"/>
              <w:textAlignment w:val="baseline"/>
              <w:rPr>
                <w:rFonts w:hint="default" w:ascii="ＭＳ ゴシック" w:hAnsi="ＭＳ ゴシック" w:eastAsia="ＭＳ ゴシック"/>
                <w:color w:val="000000"/>
                <w:spacing w:val="16"/>
                <w:kern w:val="0"/>
              </w:rPr>
            </w:pPr>
          </w:p>
        </w:tc>
      </w:tr>
    </w:tbl>
    <w:p>
      <w:pPr>
        <w:pStyle w:val="0"/>
        <w:suppressAutoHyphens w:val="1"/>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主たる事業（最近１年間の売上高等が最も大きい事業）が属する業種（主たる業種）が指定業種である場合であって、主たる業種及び申請者全体の双方が認定基準を満たす場合に使用する。</w:t>
      </w:r>
    </w:p>
    <w:p>
      <w:pPr>
        <w:pStyle w:val="0"/>
        <w:suppressAutoHyphens w:val="1"/>
        <w:spacing w:line="240" w:lineRule="exact"/>
        <w:ind w:left="862" w:hanging="86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（注２）</w:t>
      </w:r>
      <w:r>
        <w:rPr>
          <w:rFonts w:hint="eastAsia" w:ascii="ＭＳ ゴシック" w:hAnsi="ＭＳ ゴシック" w:eastAsia="ＭＳ ゴシック"/>
          <w:color w:val="000000"/>
          <w:spacing w:val="16"/>
          <w:kern w:val="0"/>
        </w:rPr>
        <w:t>主たる事業が属する指定業種（日本標準産業分類の細分類番号と細分類業種名）を記載。</w:t>
      </w:r>
    </w:p>
    <w:p>
      <w:pPr>
        <w:pStyle w:val="0"/>
        <w:suppressAutoHyphens w:val="1"/>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（注３）主たる業種及び申請者全体の原油等の仕入単価、売上原価、原油等の仕入価格を記載。上昇率及び依存率が２０％以上となっていること。</w:t>
      </w:r>
    </w:p>
    <w:p>
      <w:pPr>
        <w:pStyle w:val="0"/>
        <w:suppressAutoHyphens w:val="1"/>
        <w:spacing w:line="240" w:lineRule="exact"/>
        <w:ind w:left="738" w:hanging="738"/>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（注４）主たる業種及び申請者全体の原油等の仕入価格、売上高を記載。Ｐ＞０となっていること。</w:t>
      </w:r>
    </w:p>
    <w:p>
      <w:pPr>
        <w:pStyle w:val="0"/>
        <w:suppressAutoHyphens w:val="1"/>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①　本認定とは別に、金融機関及び信用保証協会による金融上の審査があります。</w:t>
      </w:r>
    </w:p>
    <w:p>
      <w:pPr>
        <w:pStyle w:val="0"/>
        <w:widowControl w:val="1"/>
        <w:spacing w:line="300" w:lineRule="exact"/>
        <w:ind w:left="540" w:hanging="540" w:hangingChars="257"/>
        <w:jc w:val="left"/>
        <w:rPr>
          <w:rFonts w:hint="default" w:ascii="ＭＳ ゴシック" w:hAnsi="ＭＳ ゴシック" w:eastAsia="ＭＳ ゴシック"/>
          <w:sz w:val="24"/>
        </w:rPr>
      </w:pPr>
      <w:r>
        <w:rPr>
          <w:rFonts w:hint="eastAsia" w:ascii="ＭＳ ゴシック" w:hAnsi="ＭＳ ゴシック" w:eastAsia="ＭＳ ゴシック"/>
          <w:color w:val="000000"/>
          <w:kern w:val="0"/>
        </w:rPr>
        <w:t>　②　市町村長又は特別区長から認定を受けた後、本認定の有効期間内に金融機関又は信用保証協会に対し</w:t>
      </w:r>
      <w:r>
        <w:rPr>
          <w:rFonts w:hint="eastAsia"/>
        </w:rPr>
        <mc:AlternateContent>
          <mc:Choice Requires="wps">
            <w:drawing>
              <wp:anchor distT="0" distB="0" distL="114300" distR="114300" simplePos="0" relativeHeight="59" behindDoc="0" locked="0" layoutInCell="1" hidden="0" allowOverlap="1">
                <wp:simplePos x="0" y="0"/>
                <wp:positionH relativeFrom="column">
                  <wp:posOffset>113030</wp:posOffset>
                </wp:positionH>
                <wp:positionV relativeFrom="paragraph">
                  <wp:posOffset>429895</wp:posOffset>
                </wp:positionV>
                <wp:extent cx="6339840" cy="955675"/>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6339840" cy="955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Theme="majorEastAsia" w:hAnsiTheme="majorEastAsia" w:eastAsiaTheme="majorEastAsia"/>
                              </w:rPr>
                            </w:pPr>
                            <w:r>
                              <w:rPr>
                                <w:rFonts w:hint="eastAsia"/>
                              </w:rPr>
                              <w:t>　　　</w:t>
                            </w:r>
                            <w:r>
                              <w:rPr>
                                <w:rFonts w:hint="eastAsia" w:asciiTheme="majorEastAsia" w:hAnsiTheme="majorEastAsia" w:eastAsiaTheme="majorEastAsia"/>
                              </w:rPr>
                              <w:t>第　　　　号</w:t>
                            </w:r>
                          </w:p>
                          <w:p>
                            <w:pPr>
                              <w:pStyle w:val="0"/>
                              <w:rPr>
                                <w:rFonts w:hint="default" w:asciiTheme="majorEastAsia" w:hAnsiTheme="majorEastAsia" w:eastAsiaTheme="majorEastAsia"/>
                              </w:rPr>
                            </w:pPr>
                            <w:r>
                              <w:rPr>
                                <w:rFonts w:hint="eastAsia" w:asciiTheme="majorEastAsia" w:hAnsiTheme="majorEastAsia" w:eastAsiaTheme="majorEastAsia"/>
                              </w:rPr>
                              <w:t>　　　　令和　　　年　　　月　　　日</w:t>
                            </w:r>
                          </w:p>
                          <w:p>
                            <w:pPr>
                              <w:pStyle w:val="0"/>
                              <w:rPr>
                                <w:rFonts w:hint="default" w:asciiTheme="majorEastAsia" w:hAnsiTheme="majorEastAsia" w:eastAsiaTheme="majorEastAsia"/>
                              </w:rPr>
                            </w:pPr>
                            <w:r>
                              <w:rPr>
                                <w:rFonts w:hint="eastAsia" w:asciiTheme="majorEastAsia" w:hAnsiTheme="majorEastAsia" w:eastAsiaTheme="majorEastAsia"/>
                              </w:rPr>
                              <w:t>　　　　　　申請のとおり、相違ないことを認定します。</w:t>
                            </w:r>
                          </w:p>
                          <w:p>
                            <w:pPr>
                              <w:pStyle w:val="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　認定者名　　</w:t>
                            </w:r>
                            <w:r>
                              <w:rPr>
                                <w:rFonts w:hint="eastAsia" w:asciiTheme="majorEastAsia" w:hAnsiTheme="majorEastAsia" w:eastAsiaTheme="majorEastAsia"/>
                              </w:rPr>
                              <w:t xml:space="preserve"> </w:t>
                            </w:r>
                            <w:r>
                              <w:rPr>
                                <w:rFonts w:hint="eastAsia" w:asciiTheme="majorEastAsia" w:hAnsiTheme="majorEastAsia" w:eastAsiaTheme="majorEastAsia"/>
                              </w:rPr>
                              <w:t>津野町長　　　　　　</w:t>
                            </w:r>
                            <w:r>
                              <w:rPr>
                                <w:rFonts w:hint="eastAsia" w:asciiTheme="majorEastAsia" w:hAnsiTheme="majorEastAsia" w:eastAsiaTheme="majorEastAsia"/>
                              </w:rPr>
                              <w:t xml:space="preserve"> </w:t>
                            </w:r>
                            <w:r>
                              <w:rPr>
                                <w:rFonts w:hint="default" w:asciiTheme="majorEastAsia" w:hAnsiTheme="majorEastAsia" w:eastAsiaTheme="majorEastAsia"/>
                              </w:rPr>
                              <w:t xml:space="preserve"> </w:t>
                            </w:r>
                            <w:r>
                              <w:rPr>
                                <w:rFonts w:hint="eastAsia" w:asciiTheme="majorEastAsia" w:hAnsiTheme="majorEastAsia" w:eastAsiaTheme="majorEastAsia"/>
                              </w:rPr>
                              <w:t>　　　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33.85pt;mso-position-vertical-relative:text;mso-position-horizontal-relative:text;v-text-anchor:top;position:absolute;height:75.25pt;mso-wrap-distance-top:0pt;width:499.2pt;mso-wrap-distance-left:9pt;margin-left:8.9pt;z-index:59;" o:spid="_x0000_s1027" o:allowincell="t" o:allowoverlap="t" filled="t" fillcolor="#ffffff [3201]" stroked="t" strokecolor="#000000" strokeweight="0.5pt" o:spt="202" type="#_x0000_t202">
                <v:fill/>
                <v:stroke filltype="solid"/>
                <v:textbox style="layout-flow:horizontal;">
                  <w:txbxContent>
                    <w:p>
                      <w:pPr>
                        <w:pStyle w:val="0"/>
                        <w:rPr>
                          <w:rFonts w:hint="default" w:asciiTheme="majorEastAsia" w:hAnsiTheme="majorEastAsia" w:eastAsiaTheme="majorEastAsia"/>
                        </w:rPr>
                      </w:pPr>
                      <w:r>
                        <w:rPr>
                          <w:rFonts w:hint="eastAsia"/>
                        </w:rPr>
                        <w:t>　　　</w:t>
                      </w:r>
                      <w:r>
                        <w:rPr>
                          <w:rFonts w:hint="eastAsia" w:asciiTheme="majorEastAsia" w:hAnsiTheme="majorEastAsia" w:eastAsiaTheme="majorEastAsia"/>
                        </w:rPr>
                        <w:t>第　　　　号</w:t>
                      </w:r>
                    </w:p>
                    <w:p>
                      <w:pPr>
                        <w:pStyle w:val="0"/>
                        <w:rPr>
                          <w:rFonts w:hint="default" w:asciiTheme="majorEastAsia" w:hAnsiTheme="majorEastAsia" w:eastAsiaTheme="majorEastAsia"/>
                        </w:rPr>
                      </w:pPr>
                      <w:r>
                        <w:rPr>
                          <w:rFonts w:hint="eastAsia" w:asciiTheme="majorEastAsia" w:hAnsiTheme="majorEastAsia" w:eastAsiaTheme="majorEastAsia"/>
                        </w:rPr>
                        <w:t>　　　　令和　　　年　　　月　　　日</w:t>
                      </w:r>
                    </w:p>
                    <w:p>
                      <w:pPr>
                        <w:pStyle w:val="0"/>
                        <w:rPr>
                          <w:rFonts w:hint="default" w:asciiTheme="majorEastAsia" w:hAnsiTheme="majorEastAsia" w:eastAsiaTheme="majorEastAsia"/>
                        </w:rPr>
                      </w:pPr>
                      <w:r>
                        <w:rPr>
                          <w:rFonts w:hint="eastAsia" w:asciiTheme="majorEastAsia" w:hAnsiTheme="majorEastAsia" w:eastAsiaTheme="majorEastAsia"/>
                        </w:rPr>
                        <w:t>　　　　　　申請のとおり、相違ないことを認定します。</w:t>
                      </w:r>
                    </w:p>
                    <w:p>
                      <w:pPr>
                        <w:pStyle w:val="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　認定者名　　</w:t>
                      </w:r>
                      <w:r>
                        <w:rPr>
                          <w:rFonts w:hint="eastAsia" w:asciiTheme="majorEastAsia" w:hAnsiTheme="majorEastAsia" w:eastAsiaTheme="majorEastAsia"/>
                        </w:rPr>
                        <w:t xml:space="preserve"> </w:t>
                      </w:r>
                      <w:r>
                        <w:rPr>
                          <w:rFonts w:hint="eastAsia" w:asciiTheme="majorEastAsia" w:hAnsiTheme="majorEastAsia" w:eastAsiaTheme="majorEastAsia"/>
                        </w:rPr>
                        <w:t>津野町長　　　　　　</w:t>
                      </w:r>
                      <w:r>
                        <w:rPr>
                          <w:rFonts w:hint="eastAsia" w:asciiTheme="majorEastAsia" w:hAnsiTheme="majorEastAsia" w:eastAsiaTheme="majorEastAsia"/>
                        </w:rPr>
                        <w:t xml:space="preserve"> </w:t>
                      </w:r>
                      <w:r>
                        <w:rPr>
                          <w:rFonts w:hint="default" w:asciiTheme="majorEastAsia" w:hAnsiTheme="majorEastAsia" w:eastAsiaTheme="majorEastAsia"/>
                        </w:rPr>
                        <w:t xml:space="preserve"> </w:t>
                      </w:r>
                      <w:r>
                        <w:rPr>
                          <w:rFonts w:hint="eastAsia" w:asciiTheme="majorEastAsia" w:hAnsiTheme="majorEastAsia" w:eastAsiaTheme="majorEastAsia"/>
                        </w:rPr>
                        <w:t>　　　印</w:t>
                      </w:r>
                    </w:p>
                  </w:txbxContent>
                </v:textbox>
                <v:imagedata o:title=""/>
                <w10:wrap type="none" anchorx="text" anchory="text"/>
              </v:shape>
            </w:pict>
          </mc:Fallback>
        </mc:AlternateContent>
      </w:r>
      <w:r>
        <w:rPr>
          <w:rFonts w:hint="eastAsia" w:ascii="ＭＳ ゴシック" w:hAnsi="ＭＳ ゴシック" w:eastAsia="ＭＳ ゴシック"/>
          <w:color w:val="000000"/>
          <w:kern w:val="0"/>
        </w:rPr>
        <w:t>て、経営安定関連保証の申込みを行うことが必要です。</w:t>
      </w:r>
      <w:r>
        <w:rPr>
          <w:rFonts w:hint="default" w:ascii="ＭＳ ゴシック" w:hAnsi="ＭＳ ゴシック" w:eastAsia="ＭＳ ゴシック"/>
          <w:sz w:val="24"/>
        </w:rPr>
        <w:br w:type="page"/>
      </w:r>
    </w:p>
    <w:tbl>
      <w:tblPr>
        <w:tblStyle w:val="11"/>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2"/>
        <w:gridCol w:w="3224"/>
        <w:gridCol w:w="3868"/>
      </w:tblGrid>
      <w:tr>
        <w:trPr>
          <w:trHeight w:val="398" w:hRule="atLeast"/>
        </w:trPr>
        <w:tc>
          <w:tcPr>
            <w:tcW w:w="1031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53" w:hRule="atLeast"/>
        </w:trPr>
        <w:tc>
          <w:tcPr>
            <w:tcW w:w="3222"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224"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86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06" w:hRule="atLeast"/>
        </w:trPr>
        <w:tc>
          <w:tcPr>
            <w:tcW w:w="3222"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224"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86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様式第５－（ロ）－③</w:t>
      </w:r>
    </w:p>
    <w:tbl>
      <w:tblPr>
        <w:tblStyle w:val="11"/>
        <w:tblW w:w="1049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495"/>
      </w:tblGrid>
      <w:tr>
        <w:trPr/>
        <w:tc>
          <w:tcPr>
            <w:tcW w:w="104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中小企業信用保険法第２条第５項第５号の規定による認定申請書（ロ－③）</w:t>
            </w:r>
          </w:p>
          <w:p>
            <w:pPr>
              <w:pStyle w:val="0"/>
              <w:suppressAutoHyphens w:val="1"/>
              <w:kinsoku w:val="0"/>
              <w:wordWrap w:val="0"/>
              <w:overflowPunct w:val="0"/>
              <w:autoSpaceDE w:val="0"/>
              <w:autoSpaceDN w:val="0"/>
              <w:adjustRightInd w:val="0"/>
              <w:spacing w:line="240" w:lineRule="exact"/>
              <w:ind w:right="695" w:rightChars="331"/>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令和</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津</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野</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町</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長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殿</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印</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180" w:lineRule="exact"/>
              <w:jc w:val="left"/>
              <w:textAlignment w:val="baseline"/>
              <w:rPr>
                <w:rFonts w:hint="default" w:ascii="ＭＳ ゴシック" w:hAnsi="ＭＳ ゴシック" w:eastAsia="ＭＳ ゴシック"/>
                <w:color w:val="000000"/>
                <w:spacing w:val="16"/>
                <w:kern w:val="0"/>
              </w:rPr>
            </w:pPr>
          </w:p>
          <w:p>
            <w:pPr>
              <w:pStyle w:val="39"/>
              <w:jc w:val="left"/>
              <w:rPr>
                <w:rFonts w:hint="default"/>
              </w:rPr>
            </w:pPr>
            <w:r>
              <w:rPr>
                <w:rFonts w:hint="eastAsia"/>
              </w:rPr>
              <w:t>　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５項第５号の規定に基づき認定されるようお願いします。（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7"/>
              <w:gridCol w:w="3168"/>
              <w:gridCol w:w="3168"/>
            </w:tblGrid>
            <w:tr>
              <w:trPr>
                <w:trHeight w:val="327" w:hRule="atLeast"/>
              </w:trPr>
              <w:tc>
                <w:tcPr>
                  <w:tcW w:w="3167"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p>
              </w:tc>
              <w:tc>
                <w:tcPr>
                  <w:tcW w:w="3168"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68"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r>
              <w:trPr>
                <w:trHeight w:val="341" w:hRule="atLeast"/>
              </w:trPr>
              <w:tc>
                <w:tcPr>
                  <w:tcW w:w="3167"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68"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68"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6"/>
                <w:kern w:val="0"/>
              </w:rPr>
              <w:t>※表には、指定業種であって、原油等の価格の上昇を製品等の価格に転嫁できていない事業が属する業種</w:t>
            </w:r>
            <w:r>
              <w:rPr>
                <w:rFonts w:hint="eastAsia" w:ascii="ＭＳ ゴシック" w:hAnsi="ＭＳ ゴシック" w:eastAsia="ＭＳ ゴシック"/>
                <w:color w:val="000000"/>
                <w:spacing w:val="16"/>
                <w:kern w:val="0"/>
              </w:rPr>
              <w:t>(</w:t>
            </w:r>
            <w:r>
              <w:rPr>
                <w:rFonts w:hint="eastAsia" w:ascii="ＭＳ ゴシック" w:hAnsi="ＭＳ ゴシック" w:eastAsia="ＭＳ ゴシック"/>
                <w:color w:val="000000"/>
                <w:spacing w:val="16"/>
                <w:kern w:val="0"/>
              </w:rPr>
              <w:t>日本標準産業分類の細分類番号と細分類業種名</w:t>
            </w:r>
            <w:r>
              <w:rPr>
                <w:rFonts w:hint="eastAsia" w:ascii="ＭＳ ゴシック" w:hAnsi="ＭＳ ゴシック" w:eastAsia="ＭＳ ゴシック"/>
                <w:color w:val="000000"/>
                <w:spacing w:val="16"/>
                <w:kern w:val="0"/>
              </w:rPr>
              <w:t>)</w:t>
            </w:r>
            <w:r>
              <w:rPr>
                <w:rFonts w:hint="eastAsia" w:ascii="ＭＳ ゴシック" w:hAnsi="ＭＳ ゴシック" w:eastAsia="ＭＳ ゴシック"/>
                <w:color w:val="000000"/>
                <w:spacing w:val="16"/>
                <w:kern w:val="0"/>
              </w:rPr>
              <w:t>を記載。当該指定業種が複数ある場合には、その中で、最近１年間で最も売上高等が大きい事業が属する指定業種を左上の太枠に記載。</w:t>
            </w: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①上記の表に記載した指定業種（以下同じ。）に係る原油等の仕入単価の上昇（注２）</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Ｅ</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上昇率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Ｅ：指定業種に係る原油等の最近１か月間における平均仕入れ単価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ｅ：指定業種に係るＥの期間に対応する前年１か月間の平均仕入れ単価</w:t>
            </w:r>
            <w:r>
              <w:rPr>
                <w:rFonts w:hint="eastAsia" w:ascii="ＭＳ ゴシック" w:hAnsi="ＭＳ ゴシック" w:eastAsia="ＭＳ ゴシック"/>
                <w:color w:val="000000"/>
                <w:spacing w:val="16"/>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②全体の売上原価のうち指定業種に係る原油等の仕入価格が占める割合（注２）</w:t>
            </w:r>
          </w:p>
          <w:p>
            <w:pPr>
              <w:pStyle w:val="0"/>
              <w:suppressAutoHyphens w:val="1"/>
              <w:kinsoku w:val="0"/>
              <w:wordWrap w:val="0"/>
              <w:overflowPunct w:val="0"/>
              <w:autoSpaceDE w:val="0"/>
              <w:autoSpaceDN w:val="0"/>
              <w:adjustRightInd w:val="0"/>
              <w:spacing w:line="240" w:lineRule="exact"/>
              <w:ind w:firstLine="1050" w:firstLineChars="5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single" w:color="000000"/>
              </w:rPr>
              <w:t>Ｓ</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依存率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Ｃ：申込時点における最新の全体の売上原価</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　</w:t>
            </w:r>
            <w:bookmarkStart w:id="0" w:name="_GoBack"/>
            <w:bookmarkEnd w:id="0"/>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Ｓ：Ｃの売上原価に対応する指定業種に係る原油等の仕入価格</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③－１　指定業種に係る製品等価格への転嫁の状況（注３）</w:t>
            </w:r>
          </w:p>
          <w:p>
            <w:pPr>
              <w:pStyle w:val="0"/>
              <w:suppressAutoHyphens w:val="1"/>
              <w:kinsoku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Ａ１</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ａ１</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Ｂ１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ｂ１</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＝Ｐ１</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Ｐ１＝</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Ａ１：申込時点における最近３か月間の指定業種に係る原油等の仕入価格</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ａ１：Ａ１の期間に対応する前年３か月間の指定業種に係る原油等の仕入価格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Ｂ１：申込時点における最近３か月間の指定業種に係る売上高</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ｂ１：Ｂ１の期間に対応する前年３か月間の指定業種に係る売上高</w:t>
            </w:r>
            <w:r>
              <w:rPr>
                <w:rFonts w:hint="eastAsia" w:ascii="ＭＳ ゴシック" w:hAnsi="ＭＳ ゴシック" w:eastAsia="ＭＳ ゴシック"/>
                <w:color w:val="000000"/>
                <w:spacing w:val="16"/>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③－２　全体に係る製品等価格への転嫁の状況（注３）</w:t>
            </w:r>
          </w:p>
          <w:p>
            <w:pPr>
              <w:pStyle w:val="0"/>
              <w:suppressAutoHyphens w:val="1"/>
              <w:kinsoku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Ａ１</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ａ１</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Ｂ２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ｂ２</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＝Ｐ２</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Ｐ２＝</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Ａ１：申込時点における最近３か月間の指定業種に係る原油等の仕入価格</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ａ１：Ａ１の期間に対応する前年３か月間の指定業種に係る原油等の仕入価格</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Ｂ２：申込時点における最近３か月間の全体の売上高</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ｂ２：Ｂ２の期間に対応する前年３か月間の全体の売上高</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tc>
      </w:tr>
    </w:tbl>
    <w:p>
      <w:pPr>
        <w:pStyle w:val="0"/>
        <w:suppressAutoHyphens w:val="1"/>
        <w:spacing w:line="320" w:lineRule="exact"/>
        <w:ind w:left="737" w:hanging="737"/>
        <w:jc w:val="right"/>
        <w:textAlignment w:val="baseline"/>
        <w:rPr>
          <w:rFonts w:hint="eastAsia"/>
        </w:rPr>
      </w:pPr>
      <w:r>
        <w:rPr>
          <w:rFonts w:hint="default" w:ascii="ＭＳ ゴシック" w:hAnsi="ＭＳ ゴシック" w:eastAsia="ＭＳ ゴシック"/>
          <w:color w:val="000000"/>
          <w:kern w:val="0"/>
          <w:sz w:val="24"/>
        </w:rPr>
        <mc:AlternateContent>
          <mc:Choice Requires="wps">
            <w:drawing>
              <wp:anchor distT="0" distB="0" distL="114300" distR="114300" simplePos="0" relativeHeight="3" behindDoc="0" locked="0" layoutInCell="1" hidden="0" allowOverlap="1">
                <wp:simplePos x="0" y="0"/>
                <wp:positionH relativeFrom="column">
                  <wp:posOffset>2971165</wp:posOffset>
                </wp:positionH>
                <wp:positionV relativeFrom="paragraph">
                  <wp:posOffset>408940</wp:posOffset>
                </wp:positionV>
                <wp:extent cx="180975" cy="111760"/>
                <wp:effectExtent l="0" t="0" r="635" b="635"/>
                <wp:wrapNone/>
                <wp:docPr id="1028" name="正方形/長方形 7"/>
                <a:graphic xmlns:a="http://schemas.openxmlformats.org/drawingml/2006/main">
                  <a:graphicData uri="http://schemas.microsoft.com/office/word/2010/wordprocessingShape">
                    <wps:wsp>
                      <wps:cNvPr id="1028" name="正方形/長方形 7"/>
                      <wps:cNvSpPr/>
                      <wps:spPr>
                        <a:xfrm>
                          <a:off x="0" y="0"/>
                          <a:ext cx="180975" cy="1117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7" style="mso-wrap-distance-right:9pt;mso-wrap-distance-bottom:0pt;margin-top:32.200000000000003pt;mso-position-vertical-relative:text;mso-position-horizontal-relative:text;position:absolute;height:8.8000000000000007pt;mso-wrap-distance-top:0pt;width:14.25pt;mso-wrap-distance-left:9pt;margin-left:233.95pt;z-index:3;" o:spid="_x0000_s1028" o:allowincell="t" o:allowoverlap="t" filled="t" fillcolor="#ffffff [3212]" stroked="f" strokecolor="#385d8a" strokeweight="2pt" o:spt="1">
                <v:fill/>
                <v:stroke linestyle="single" endcap="flat" dashstyl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-50165</wp:posOffset>
                </wp:positionH>
                <wp:positionV relativeFrom="paragraph">
                  <wp:posOffset>-53340</wp:posOffset>
                </wp:positionV>
                <wp:extent cx="6557645" cy="1510030"/>
                <wp:effectExtent l="0" t="0" r="635" b="635"/>
                <wp:wrapNone/>
                <wp:docPr id="1029" name="Text Box 3"/>
                <a:graphic xmlns:a="http://schemas.openxmlformats.org/drawingml/2006/main">
                  <a:graphicData uri="http://schemas.microsoft.com/office/word/2010/wordprocessingShape">
                    <wps:wsp>
                      <wps:cNvPr id="1029" name="Text Box 3"/>
                      <wps:cNvSpPr txBox="1">
                        <a:spLocks noChangeArrowheads="1"/>
                      </wps:cNvSpPr>
                      <wps:spPr>
                        <a:xfrm>
                          <a:off x="0" y="0"/>
                          <a:ext cx="6557645" cy="1510030"/>
                        </a:xfrm>
                        <a:prstGeom prst="rect">
                          <a:avLst/>
                        </a:prstGeom>
                        <a:noFill/>
                        <a:ln>
                          <a:noFill/>
                        </a:ln>
                      </wps:spPr>
                      <wps:txbx>
                        <w:txbxContent>
                          <w:p>
                            <w:pPr>
                              <w:pStyle w:val="0"/>
                              <w:suppressAutoHyphens w:val="1"/>
                              <w:spacing w:line="280" w:lineRule="exact"/>
                              <w:ind w:left="738" w:hanging="738"/>
                              <w:jc w:val="left"/>
                              <w:textAlignment w:val="baseline"/>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（注１）本様式は、指定業種に係る原油等の仕入価格の上昇等を指定業種及び企業全体の製品等の価格に転嫁できていないことによって認定基準を満たす場合に使用する。</w:t>
                            </w:r>
                          </w:p>
                          <w:p>
                            <w:pPr>
                              <w:pStyle w:val="0"/>
                              <w:suppressAutoHyphens w:val="1"/>
                              <w:spacing w:line="280" w:lineRule="exact"/>
                              <w:ind w:left="738" w:hanging="738"/>
                              <w:jc w:val="left"/>
                              <w:textAlignment w:val="baseline"/>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（注２）上昇率及び依存率が２０％以上となっていること。</w:t>
                            </w:r>
                          </w:p>
                          <w:p>
                            <w:pPr>
                              <w:pStyle w:val="0"/>
                              <w:suppressAutoHyphens w:val="1"/>
                              <w:spacing w:line="280" w:lineRule="exact"/>
                              <w:ind w:left="738" w:hanging="738"/>
                              <w:jc w:val="left"/>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（注３）Ｐ１＞０、かつ、Ｐ２＞０となっていること。</w:t>
                            </w:r>
                          </w:p>
                          <w:p>
                            <w:pPr>
                              <w:pStyle w:val="0"/>
                              <w:suppressAutoHyphens w:val="1"/>
                              <w:spacing w:line="280" w:lineRule="exact"/>
                              <w:ind w:left="1230" w:hanging="1230"/>
                              <w:jc w:val="left"/>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（留意事項）</w:t>
                            </w:r>
                          </w:p>
                          <w:p>
                            <w:pPr>
                              <w:pStyle w:val="0"/>
                              <w:suppressAutoHyphens w:val="1"/>
                              <w:spacing w:line="280" w:lineRule="exact"/>
                              <w:jc w:val="left"/>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　①　本認定とは別に、金融機関及び信用保証協会による金融上の審査があります。</w:t>
                            </w:r>
                          </w:p>
                          <w:p>
                            <w:pPr>
                              <w:pStyle w:val="0"/>
                              <w:suppressAutoHyphens w:val="1"/>
                              <w:kinsoku w:val="0"/>
                              <w:autoSpaceDE w:val="0"/>
                              <w:autoSpaceDN w:val="0"/>
                              <w:spacing w:line="280" w:lineRule="exact"/>
                              <w:ind w:left="561" w:hanging="561" w:hangingChars="267"/>
                              <w:jc w:val="left"/>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　②　市町村長又は特別区長から認定を受けた後、本認定の有効期間内に金融機関又は信用保証協会に対して、経営安定関連保証の申込みを行うことが必要です。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wrap-distance-right:9pt;mso-wrap-distance-bottom:0pt;margin-top:-4.2pt;mso-position-vertical-relative:text;mso-position-horizontal-relative:text;v-text-anchor:top;position:absolute;height:118.9pt;mso-wrap-distance-top:0pt;width:516.35pt;mso-wrap-distance-left:9pt;margin-left:-3.95pt;z-index:2;" o:spid="_x0000_s1029" o:allowincell="t" o:allowoverlap="t" filled="f" stroked="f" o:spt="202" type="#_x0000_t202">
                <v:fill/>
                <v:textbox style="layout-flow:horizontal;" inset="2.5399999999999996mm,1.2699999999999998mm,2.5399999999999996mm,1.2699999999999998mm">
                  <w:txbxContent>
                    <w:p>
                      <w:pPr>
                        <w:pStyle w:val="0"/>
                        <w:suppressAutoHyphens w:val="1"/>
                        <w:spacing w:line="280" w:lineRule="exact"/>
                        <w:ind w:left="738" w:hanging="738"/>
                        <w:jc w:val="left"/>
                        <w:textAlignment w:val="baseline"/>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（注１）本様式は、指定業種に係る原油等の仕入価格の上昇等を指定業種及び企業全体の製品等の価格に転嫁できていないことによって認定基準を満たす場合に使用する。</w:t>
                      </w:r>
                    </w:p>
                    <w:p>
                      <w:pPr>
                        <w:pStyle w:val="0"/>
                        <w:suppressAutoHyphens w:val="1"/>
                        <w:spacing w:line="280" w:lineRule="exact"/>
                        <w:ind w:left="738" w:hanging="738"/>
                        <w:jc w:val="left"/>
                        <w:textAlignment w:val="baseline"/>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（注２）上昇率及び依存率が２０％以上となっていること。</w:t>
                      </w:r>
                    </w:p>
                    <w:p>
                      <w:pPr>
                        <w:pStyle w:val="0"/>
                        <w:suppressAutoHyphens w:val="1"/>
                        <w:spacing w:line="280" w:lineRule="exact"/>
                        <w:ind w:left="738" w:hanging="738"/>
                        <w:jc w:val="left"/>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（注３）Ｐ１＞０、かつ、Ｐ２＞０となっていること。</w:t>
                      </w:r>
                    </w:p>
                    <w:p>
                      <w:pPr>
                        <w:pStyle w:val="0"/>
                        <w:suppressAutoHyphens w:val="1"/>
                        <w:spacing w:line="280" w:lineRule="exact"/>
                        <w:ind w:left="1230" w:hanging="1230"/>
                        <w:jc w:val="left"/>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（留意事項）</w:t>
                      </w:r>
                    </w:p>
                    <w:p>
                      <w:pPr>
                        <w:pStyle w:val="0"/>
                        <w:suppressAutoHyphens w:val="1"/>
                        <w:spacing w:line="280" w:lineRule="exact"/>
                        <w:jc w:val="left"/>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　①　本認定とは別に、金融機関及び信用保証協会による金融上の審査があります。</w:t>
                      </w:r>
                    </w:p>
                    <w:p>
                      <w:pPr>
                        <w:pStyle w:val="0"/>
                        <w:suppressAutoHyphens w:val="1"/>
                        <w:kinsoku w:val="0"/>
                        <w:autoSpaceDE w:val="0"/>
                        <w:autoSpaceDN w:val="0"/>
                        <w:spacing w:line="280" w:lineRule="exact"/>
                        <w:ind w:left="561" w:hanging="561" w:hangingChars="267"/>
                        <w:jc w:val="left"/>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　②　市町村長又は特別区長から認定を受けた後、本認定の有効期間内に金融機関又は信用保証協会に対して、経営安定関連保証の申込みを行うことが必要です。</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0" behindDoc="0" locked="0" layoutInCell="1" hidden="0" allowOverlap="1">
                <wp:simplePos x="0" y="0"/>
                <wp:positionH relativeFrom="column">
                  <wp:posOffset>-50165</wp:posOffset>
                </wp:positionH>
                <wp:positionV relativeFrom="paragraph">
                  <wp:posOffset>1409065</wp:posOffset>
                </wp:positionV>
                <wp:extent cx="6663690" cy="955675"/>
                <wp:effectExtent l="635" t="635" r="29845" b="10795"/>
                <wp:wrapNone/>
                <wp:docPr id="1030" name="テキスト ボックス 2"/>
                <a:graphic xmlns:a="http://schemas.openxmlformats.org/drawingml/2006/main">
                  <a:graphicData uri="http://schemas.microsoft.com/office/word/2010/wordprocessingShape">
                    <wps:wsp>
                      <wps:cNvPr id="1030" name="テキスト ボックス 2"/>
                      <wps:cNvSpPr txBox="1"/>
                      <wps:spPr>
                        <a:xfrm>
                          <a:off x="0" y="0"/>
                          <a:ext cx="6663690" cy="955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Theme="majorEastAsia" w:hAnsiTheme="majorEastAsia" w:eastAsiaTheme="majorEastAsia"/>
                              </w:rPr>
                            </w:pPr>
                            <w:r>
                              <w:rPr>
                                <w:rFonts w:hint="eastAsia"/>
                              </w:rPr>
                              <w:t>　　　</w:t>
                            </w:r>
                            <w:r>
                              <w:rPr>
                                <w:rFonts w:hint="eastAsia" w:asciiTheme="majorEastAsia" w:hAnsiTheme="majorEastAsia" w:eastAsiaTheme="majorEastAsia"/>
                              </w:rPr>
                              <w:t>第　　　　号</w:t>
                            </w:r>
                          </w:p>
                          <w:p>
                            <w:pPr>
                              <w:pStyle w:val="0"/>
                              <w:rPr>
                                <w:rFonts w:hint="default" w:asciiTheme="majorEastAsia" w:hAnsiTheme="majorEastAsia" w:eastAsiaTheme="majorEastAsia"/>
                              </w:rPr>
                            </w:pPr>
                            <w:r>
                              <w:rPr>
                                <w:rFonts w:hint="eastAsia" w:asciiTheme="majorEastAsia" w:hAnsiTheme="majorEastAsia" w:eastAsiaTheme="majorEastAsia"/>
                              </w:rPr>
                              <w:t>　　　　令和　　　年　　　月　　　日</w:t>
                            </w:r>
                          </w:p>
                          <w:p>
                            <w:pPr>
                              <w:pStyle w:val="0"/>
                              <w:rPr>
                                <w:rFonts w:hint="default" w:asciiTheme="majorEastAsia" w:hAnsiTheme="majorEastAsia" w:eastAsiaTheme="majorEastAsia"/>
                              </w:rPr>
                            </w:pPr>
                            <w:r>
                              <w:rPr>
                                <w:rFonts w:hint="eastAsia" w:asciiTheme="majorEastAsia" w:hAnsiTheme="majorEastAsia" w:eastAsiaTheme="majorEastAsia"/>
                              </w:rPr>
                              <w:t>　　　　　　申請のとおり、相違ないことを認定します。</w:t>
                            </w:r>
                          </w:p>
                          <w:p>
                            <w:pPr>
                              <w:pStyle w:val="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　認定者名　　</w:t>
                            </w:r>
                            <w:r>
                              <w:rPr>
                                <w:rFonts w:hint="eastAsia" w:asciiTheme="majorEastAsia" w:hAnsiTheme="majorEastAsia" w:eastAsiaTheme="majorEastAsia"/>
                              </w:rPr>
                              <w:t xml:space="preserve"> </w:t>
                            </w:r>
                            <w:r>
                              <w:rPr>
                                <w:rFonts w:hint="eastAsia" w:asciiTheme="majorEastAsia" w:hAnsiTheme="majorEastAsia" w:eastAsiaTheme="majorEastAsia"/>
                              </w:rPr>
                              <w:t>津野町長　　　　　　</w:t>
                            </w:r>
                            <w:r>
                              <w:rPr>
                                <w:rFonts w:hint="eastAsia" w:asciiTheme="majorEastAsia" w:hAnsiTheme="majorEastAsia" w:eastAsiaTheme="majorEastAsia"/>
                              </w:rPr>
                              <w:t xml:space="preserve"> </w:t>
                            </w:r>
                            <w:r>
                              <w:rPr>
                                <w:rFonts w:hint="default" w:asciiTheme="majorEastAsia" w:hAnsiTheme="majorEastAsia" w:eastAsiaTheme="majorEastAsia"/>
                              </w:rPr>
                              <w:t xml:space="preserve"> </w:t>
                            </w:r>
                            <w:r>
                              <w:rPr>
                                <w:rFonts w:hint="eastAsia" w:asciiTheme="majorEastAsia" w:hAnsiTheme="majorEastAsia" w:eastAsiaTheme="majorEastAsia"/>
                              </w:rPr>
                              <w:t>　　　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10.95pt;mso-position-vertical-relative:text;mso-position-horizontal-relative:text;v-text-anchor:top;position:absolute;height:75.25pt;mso-wrap-distance-top:0pt;width:524.70000000000005pt;mso-wrap-distance-left:9pt;margin-left:-3.95pt;z-index:60;" o:spid="_x0000_s1030" o:allowincell="t" o:allowoverlap="t" filled="t" fillcolor="#ffffff [3201]" stroked="t" strokecolor="#000000" strokeweight="0.5pt" o:spt="202" type="#_x0000_t202">
                <v:fill/>
                <v:stroke filltype="solid"/>
                <v:textbox style="layout-flow:horizontal;">
                  <w:txbxContent>
                    <w:p>
                      <w:pPr>
                        <w:pStyle w:val="0"/>
                        <w:rPr>
                          <w:rFonts w:hint="default" w:asciiTheme="majorEastAsia" w:hAnsiTheme="majorEastAsia" w:eastAsiaTheme="majorEastAsia"/>
                        </w:rPr>
                      </w:pPr>
                      <w:r>
                        <w:rPr>
                          <w:rFonts w:hint="eastAsia"/>
                        </w:rPr>
                        <w:t>　　　</w:t>
                      </w:r>
                      <w:r>
                        <w:rPr>
                          <w:rFonts w:hint="eastAsia" w:asciiTheme="majorEastAsia" w:hAnsiTheme="majorEastAsia" w:eastAsiaTheme="majorEastAsia"/>
                        </w:rPr>
                        <w:t>第　　　　号</w:t>
                      </w:r>
                    </w:p>
                    <w:p>
                      <w:pPr>
                        <w:pStyle w:val="0"/>
                        <w:rPr>
                          <w:rFonts w:hint="default" w:asciiTheme="majorEastAsia" w:hAnsiTheme="majorEastAsia" w:eastAsiaTheme="majorEastAsia"/>
                        </w:rPr>
                      </w:pPr>
                      <w:r>
                        <w:rPr>
                          <w:rFonts w:hint="eastAsia" w:asciiTheme="majorEastAsia" w:hAnsiTheme="majorEastAsia" w:eastAsiaTheme="majorEastAsia"/>
                        </w:rPr>
                        <w:t>　　　　令和　　　年　　　月　　　日</w:t>
                      </w:r>
                    </w:p>
                    <w:p>
                      <w:pPr>
                        <w:pStyle w:val="0"/>
                        <w:rPr>
                          <w:rFonts w:hint="default" w:asciiTheme="majorEastAsia" w:hAnsiTheme="majorEastAsia" w:eastAsiaTheme="majorEastAsia"/>
                        </w:rPr>
                      </w:pPr>
                      <w:r>
                        <w:rPr>
                          <w:rFonts w:hint="eastAsia" w:asciiTheme="majorEastAsia" w:hAnsiTheme="majorEastAsia" w:eastAsiaTheme="majorEastAsia"/>
                        </w:rPr>
                        <w:t>　　　　　　申請のとおり、相違ないことを認定します。</w:t>
                      </w:r>
                    </w:p>
                    <w:p>
                      <w:pPr>
                        <w:pStyle w:val="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　認定者名　　</w:t>
                      </w:r>
                      <w:r>
                        <w:rPr>
                          <w:rFonts w:hint="eastAsia" w:asciiTheme="majorEastAsia" w:hAnsiTheme="majorEastAsia" w:eastAsiaTheme="majorEastAsia"/>
                        </w:rPr>
                        <w:t xml:space="preserve"> </w:t>
                      </w:r>
                      <w:r>
                        <w:rPr>
                          <w:rFonts w:hint="eastAsia" w:asciiTheme="majorEastAsia" w:hAnsiTheme="majorEastAsia" w:eastAsiaTheme="majorEastAsia"/>
                        </w:rPr>
                        <w:t>津野町長　　　　　　</w:t>
                      </w:r>
                      <w:r>
                        <w:rPr>
                          <w:rFonts w:hint="eastAsia" w:asciiTheme="majorEastAsia" w:hAnsiTheme="majorEastAsia" w:eastAsiaTheme="majorEastAsia"/>
                        </w:rPr>
                        <w:t xml:space="preserve"> </w:t>
                      </w:r>
                      <w:r>
                        <w:rPr>
                          <w:rFonts w:hint="default" w:asciiTheme="majorEastAsia" w:hAnsiTheme="majorEastAsia" w:eastAsiaTheme="majorEastAsia"/>
                        </w:rPr>
                        <w:t xml:space="preserve"> </w:t>
                      </w:r>
                      <w:r>
                        <w:rPr>
                          <w:rFonts w:hint="eastAsia" w:asciiTheme="majorEastAsia" w:hAnsiTheme="majorEastAsia" w:eastAsiaTheme="majorEastAsia"/>
                        </w:rPr>
                        <w:t>　　　印</w:t>
                      </w:r>
                    </w:p>
                  </w:txbxContent>
                </v:textbox>
                <v:imagedata o:title=""/>
                <w10:wrap type="none" anchorx="text" anchory="text"/>
              </v:shape>
            </w:pict>
          </mc:Fallback>
        </mc:AlternateContent>
      </w:r>
    </w:p>
    <w:sectPr>
      <w:pgSz w:w="11906" w:h="16838"/>
      <w:pgMar w:top="1985" w:right="1701" w:bottom="1701" w:left="1701"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rPr>
      <w:rFonts w:ascii="Century" w:hAnsi="Century" w:eastAsia="ＭＳ 明朝"/>
    </w:rPr>
  </w:style>
  <w:style w:type="paragraph" w:styleId="33">
    <w:name w:val="Date"/>
    <w:basedOn w:val="0"/>
    <w:next w:val="0"/>
    <w:link w:val="34"/>
    <w:uiPriority w:val="0"/>
    <w:rPr>
      <w:rFonts w:ascii="Century" w:hAnsi="Century" w:eastAsia="ＭＳ 明朝"/>
    </w:rPr>
  </w:style>
  <w:style w:type="character" w:styleId="34" w:customStyle="1">
    <w:name w:val="日付 (文字)"/>
    <w:basedOn w:val="10"/>
    <w:next w:val="34"/>
    <w:link w:val="33"/>
    <w:uiPriority w:val="0"/>
    <w:rPr>
      <w:rFonts w:ascii="Century" w:hAnsi="Century" w:eastAsia="ＭＳ 明朝"/>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0"/>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name w:val="Table Grid"/>
    <w:basedOn w:val="11"/>
    <w:next w:val="4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4</Pages>
  <Words>9</Words>
  <Characters>3192</Characters>
  <Application>JUST Note</Application>
  <Lines>199</Lines>
  <Paragraphs>119</Paragraphs>
  <Company>経済産業省</Company>
  <CharactersWithSpaces>5089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情報システム厚生課２</dc:creator>
  <cp:lastModifiedBy>Administrator</cp:lastModifiedBy>
  <cp:lastPrinted>2024-06-28T04:44:10Z</cp:lastPrinted>
  <dcterms:created xsi:type="dcterms:W3CDTF">2023-01-12T08:16:00Z</dcterms:created>
  <dcterms:modified xsi:type="dcterms:W3CDTF">2024-06-28T04:53:26Z</dcterms:modified>
  <cp:revision>4</cp:revision>
</cp:coreProperties>
</file>