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jc w:val="center"/>
        <w:textAlignment w:val="auto"/>
        <w:outlineLvl w:val="9"/>
        <w:rPr>
          <w:rFonts w:hint="eastAsia" w:ascii="UD デジタル 教科書体 NP-R" w:hAnsi="UD デジタル 教科書体 NP-R" w:eastAsia="UD デジタル 教科書体 NP-R"/>
          <w:color w:val="auto"/>
          <w:sz w:val="21"/>
        </w:rPr>
      </w:pPr>
      <w:bookmarkStart w:id="0" w:name="_GoBack"/>
      <w:bookmarkEnd w:id="0"/>
      <w:r>
        <w:rPr>
          <w:rFonts w:hint="eastAsia" w:ascii="UD デジタル 教科書体 NP-R" w:hAnsi="UD デジタル 教科書体 NP-R" w:eastAsia="UD デジタル 教科書体 NP-R"/>
          <w:strike w:val="0"/>
          <w:dstrike w:val="0"/>
          <w:color w:val="auto"/>
          <w:sz w:val="21"/>
        </w:rPr>
        <w:t>津野町</w:t>
      </w:r>
      <w:r>
        <w:rPr>
          <w:rFonts w:hint="eastAsia" w:ascii="UD デジタル 教科書体 NP-R" w:hAnsi="UD デジタル 教科書体 NP-R" w:eastAsia="UD デジタル 教科書体 NP-R"/>
          <w:color w:val="auto"/>
          <w:sz w:val="21"/>
        </w:rPr>
        <w:t>入札心得</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（趣旨）</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210" w:hangingChars="10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第１条</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strike w:val="0"/>
          <w:dstrike w:val="0"/>
          <w:color w:val="auto"/>
          <w:sz w:val="21"/>
        </w:rPr>
        <w:t>津野町</w:t>
      </w:r>
      <w:r>
        <w:rPr>
          <w:rFonts w:hint="eastAsia" w:ascii="UD デジタル 教科書体 NP-R" w:hAnsi="UD デジタル 教科書体 NP-R" w:eastAsia="UD デジタル 教科書体 NP-R"/>
          <w:color w:val="auto"/>
          <w:sz w:val="21"/>
        </w:rPr>
        <w:t>における一般競争入札及び指名競争入札（以下「競争入札」という。）の取扱いについては、地方自治法（昭和</w:t>
      </w:r>
      <w:r>
        <w:rPr>
          <w:rFonts w:hint="eastAsia" w:ascii="UD デジタル 教科書体 NP-R" w:hAnsi="UD デジタル 教科書体 NP-R" w:eastAsia="UD デジタル 教科書体 NP-R"/>
          <w:color w:val="auto"/>
          <w:sz w:val="21"/>
        </w:rPr>
        <w:t>22</w:t>
      </w:r>
      <w:r>
        <w:rPr>
          <w:rFonts w:hint="eastAsia" w:ascii="UD デジタル 教科書体 NP-R" w:hAnsi="UD デジタル 教科書体 NP-R" w:eastAsia="UD デジタル 教科書体 NP-R"/>
          <w:color w:val="auto"/>
          <w:sz w:val="21"/>
        </w:rPr>
        <w:t>年法律第</w:t>
      </w:r>
      <w:r>
        <w:rPr>
          <w:rFonts w:hint="eastAsia" w:ascii="UD デジタル 教科書体 NP-R" w:hAnsi="UD デジタル 教科書体 NP-R" w:eastAsia="UD デジタル 教科書体 NP-R"/>
          <w:color w:val="auto"/>
          <w:sz w:val="21"/>
        </w:rPr>
        <w:t>67</w:t>
      </w:r>
      <w:r>
        <w:rPr>
          <w:rFonts w:hint="eastAsia" w:ascii="UD デジタル 教科書体 NP-R" w:hAnsi="UD デジタル 教科書体 NP-R" w:eastAsia="UD デジタル 教科書体 NP-R"/>
          <w:color w:val="auto"/>
          <w:sz w:val="21"/>
        </w:rPr>
        <w:t>号）、地方自治法施行令（昭和</w:t>
      </w:r>
      <w:r>
        <w:rPr>
          <w:rFonts w:hint="eastAsia" w:ascii="UD デジタル 教科書体 NP-R" w:hAnsi="UD デジタル 教科書体 NP-R" w:eastAsia="UD デジタル 教科書体 NP-R"/>
          <w:color w:val="auto"/>
          <w:sz w:val="21"/>
        </w:rPr>
        <w:t>22</w:t>
      </w:r>
      <w:r>
        <w:rPr>
          <w:rFonts w:hint="eastAsia" w:ascii="UD デジタル 教科書体 NP-R" w:hAnsi="UD デジタル 教科書体 NP-R" w:eastAsia="UD デジタル 教科書体 NP-R"/>
          <w:color w:val="auto"/>
          <w:sz w:val="21"/>
        </w:rPr>
        <w:t>年政令第</w:t>
      </w:r>
      <w:r>
        <w:rPr>
          <w:rFonts w:hint="eastAsia" w:ascii="UD デジタル 教科書体 NP-R" w:hAnsi="UD デジタル 教科書体 NP-R" w:eastAsia="UD デジタル 教科書体 NP-R"/>
          <w:color w:val="auto"/>
          <w:sz w:val="21"/>
        </w:rPr>
        <w:t>16</w:t>
      </w:r>
      <w:r>
        <w:rPr>
          <w:rFonts w:hint="eastAsia" w:ascii="UD デジタル 教科書体 NP-R" w:hAnsi="UD デジタル 教科書体 NP-R" w:eastAsia="UD デジタル 教科書体 NP-R"/>
          <w:color w:val="auto"/>
          <w:sz w:val="21"/>
        </w:rPr>
        <w:t>号。以下「政令」という。）、</w:t>
      </w:r>
      <w:r>
        <w:rPr>
          <w:rFonts w:hint="eastAsia" w:ascii="UD デジタル 教科書体 NP-R" w:hAnsi="UD デジタル 教科書体 NP-R" w:eastAsia="UD デジタル 教科書体 NP-R"/>
          <w:strike w:val="0"/>
          <w:dstrike w:val="0"/>
          <w:color w:val="auto"/>
          <w:sz w:val="21"/>
        </w:rPr>
        <w:t>津野町財務規則（平成</w:t>
      </w:r>
      <w:r>
        <w:rPr>
          <w:rFonts w:hint="eastAsia" w:ascii="UD デジタル 教科書体 NP-R" w:hAnsi="UD デジタル 教科書体 NP-R" w:eastAsia="UD デジタル 教科書体 NP-R"/>
          <w:strike w:val="0"/>
          <w:dstrike w:val="0"/>
          <w:color w:val="auto"/>
          <w:sz w:val="21"/>
        </w:rPr>
        <w:t>17</w:t>
      </w:r>
      <w:r>
        <w:rPr>
          <w:rFonts w:hint="eastAsia" w:ascii="UD デジタル 教科書体 NP-R" w:hAnsi="UD デジタル 教科書体 NP-R" w:eastAsia="UD デジタル 教科書体 NP-R"/>
          <w:strike w:val="0"/>
          <w:dstrike w:val="0"/>
          <w:color w:val="auto"/>
          <w:sz w:val="21"/>
        </w:rPr>
        <w:t>年規則第</w:t>
      </w:r>
      <w:r>
        <w:rPr>
          <w:rFonts w:hint="eastAsia" w:ascii="UD デジタル 教科書体 NP-R" w:hAnsi="UD デジタル 教科書体 NP-R" w:eastAsia="UD デジタル 教科書体 NP-R"/>
          <w:strike w:val="0"/>
          <w:dstrike w:val="0"/>
          <w:color w:val="auto"/>
          <w:sz w:val="21"/>
        </w:rPr>
        <w:t>35</w:t>
      </w:r>
      <w:r>
        <w:rPr>
          <w:rFonts w:hint="eastAsia" w:ascii="UD デジタル 教科書体 NP-R" w:hAnsi="UD デジタル 教科書体 NP-R" w:eastAsia="UD デジタル 教科書体 NP-R"/>
          <w:strike w:val="0"/>
          <w:dstrike w:val="0"/>
          <w:color w:val="auto"/>
          <w:sz w:val="21"/>
        </w:rPr>
        <w:t>号。以下「規則」という。）</w:t>
      </w:r>
      <w:r>
        <w:rPr>
          <w:rFonts w:hint="eastAsia" w:ascii="UD デジタル 教科書体 NP-R" w:hAnsi="UD デジタル 教科書体 NP-R" w:eastAsia="UD デジタル 教科書体 NP-R"/>
          <w:color w:val="auto"/>
          <w:sz w:val="21"/>
        </w:rPr>
        <w:t>その他法令で定めるもののほか、この心得の定めるところによる。</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（入札参加者の資格）</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第２条</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競争入札に参加できる者（以下「入札参加者」という。）は、次のとおりとする。</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（１）</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一般競争入札においては、当該一般競争入札参加資格有とされた者</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（２）</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指名競争入札においては、指名通知を受けた者</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（入札保証金）</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210" w:hangingChars="10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第３条</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入札参加者は、入札執行前に、規則第</w:t>
      </w:r>
      <w:r>
        <w:rPr>
          <w:rFonts w:hint="eastAsia" w:ascii="UD デジタル 教科書体 NP-R" w:hAnsi="UD デジタル 教科書体 NP-R" w:eastAsia="UD デジタル 教科書体 NP-R"/>
          <w:color w:val="auto"/>
          <w:sz w:val="21"/>
        </w:rPr>
        <w:t>79</w:t>
      </w:r>
      <w:r>
        <w:rPr>
          <w:rFonts w:hint="eastAsia" w:ascii="UD デジタル 教科書体 NP-R" w:hAnsi="UD デジタル 教科書体 NP-R" w:eastAsia="UD デジタル 教科書体 NP-R"/>
          <w:color w:val="auto"/>
          <w:sz w:val="21"/>
        </w:rPr>
        <w:t>条第</w:t>
      </w:r>
      <w:r>
        <w:rPr>
          <w:rFonts w:hint="eastAsia" w:ascii="UD デジタル 教科書体 NP-R" w:hAnsi="UD デジタル 教科書体 NP-R" w:eastAsia="UD デジタル 教科書体 NP-R"/>
          <w:color w:val="auto"/>
          <w:sz w:val="21"/>
        </w:rPr>
        <w:t>1</w:t>
      </w:r>
      <w:r>
        <w:rPr>
          <w:rFonts w:hint="eastAsia" w:ascii="UD デジタル 教科書体 NP-R" w:hAnsi="UD デジタル 教科書体 NP-R" w:eastAsia="UD デジタル 教科書体 NP-R"/>
          <w:color w:val="auto"/>
          <w:sz w:val="21"/>
        </w:rPr>
        <w:t>項（規則第</w:t>
      </w:r>
      <w:r>
        <w:rPr>
          <w:rFonts w:hint="eastAsia" w:ascii="UD デジタル 教科書体 NP-R" w:hAnsi="UD デジタル 教科書体 NP-R" w:eastAsia="UD デジタル 教科書体 NP-R"/>
          <w:color w:val="auto"/>
          <w:sz w:val="21"/>
        </w:rPr>
        <w:t>90</w:t>
      </w:r>
      <w:r>
        <w:rPr>
          <w:rFonts w:hint="eastAsia" w:ascii="UD デジタル 教科書体 NP-R" w:hAnsi="UD デジタル 教科書体 NP-R" w:eastAsia="UD デジタル 教科書体 NP-R"/>
          <w:color w:val="auto"/>
          <w:sz w:val="21"/>
        </w:rPr>
        <w:t>条において準用する場合を含む。）の入札保証金を納付しなければならない。ただし、規則第</w:t>
      </w:r>
      <w:r>
        <w:rPr>
          <w:rFonts w:hint="eastAsia" w:ascii="UD デジタル 教科書体 NP-R" w:hAnsi="UD デジタル 教科書体 NP-R" w:eastAsia="UD デジタル 教科書体 NP-R"/>
          <w:color w:val="auto"/>
          <w:sz w:val="21"/>
        </w:rPr>
        <w:t>79</w:t>
      </w:r>
      <w:r>
        <w:rPr>
          <w:rFonts w:hint="eastAsia" w:ascii="UD デジタル 教科書体 NP-R" w:hAnsi="UD デジタル 教科書体 NP-R" w:eastAsia="UD デジタル 教科書体 NP-R"/>
          <w:color w:val="auto"/>
          <w:sz w:val="21"/>
        </w:rPr>
        <w:t>条第</w:t>
      </w:r>
      <w:r>
        <w:rPr>
          <w:rFonts w:hint="eastAsia" w:ascii="UD デジタル 教科書体 NP-R" w:hAnsi="UD デジタル 教科書体 NP-R" w:eastAsia="UD デジタル 教科書体 NP-R"/>
          <w:color w:val="auto"/>
          <w:sz w:val="21"/>
        </w:rPr>
        <w:t>1</w:t>
      </w:r>
      <w:r>
        <w:rPr>
          <w:rFonts w:hint="eastAsia" w:ascii="UD デジタル 教科書体 NP-R" w:hAnsi="UD デジタル 教科書体 NP-R" w:eastAsia="UD デジタル 教科書体 NP-R"/>
          <w:color w:val="auto"/>
          <w:sz w:val="21"/>
        </w:rPr>
        <w:t>項第</w:t>
      </w:r>
      <w:r>
        <w:rPr>
          <w:rFonts w:hint="eastAsia" w:ascii="UD デジタル 教科書体 NP-R" w:hAnsi="UD デジタル 教科書体 NP-R" w:eastAsia="UD デジタル 教科書体 NP-R"/>
          <w:color w:val="auto"/>
          <w:sz w:val="21"/>
        </w:rPr>
        <w:t>1</w:t>
      </w:r>
      <w:r>
        <w:rPr>
          <w:rFonts w:hint="eastAsia" w:ascii="UD デジタル 教科書体 NP-R" w:hAnsi="UD デジタル 教科書体 NP-R" w:eastAsia="UD デジタル 教科書体 NP-R"/>
          <w:color w:val="auto"/>
          <w:sz w:val="21"/>
        </w:rPr>
        <w:t>号及び第</w:t>
      </w:r>
      <w:r>
        <w:rPr>
          <w:rFonts w:hint="eastAsia" w:ascii="UD デジタル 教科書体 NP-R" w:hAnsi="UD デジタル 教科書体 NP-R" w:eastAsia="UD デジタル 教科書体 NP-R"/>
          <w:color w:val="auto"/>
          <w:sz w:val="21"/>
        </w:rPr>
        <w:t>2</w:t>
      </w:r>
      <w:r>
        <w:rPr>
          <w:rFonts w:hint="eastAsia" w:ascii="UD デジタル 教科書体 NP-R" w:hAnsi="UD デジタル 教科書体 NP-R" w:eastAsia="UD デジタル 教科書体 NP-R"/>
          <w:color w:val="auto"/>
          <w:sz w:val="21"/>
        </w:rPr>
        <w:t>号</w:t>
      </w:r>
      <w:r>
        <w:rPr>
          <w:rFonts w:hint="eastAsia" w:ascii="UD デジタル 教科書体 NP-R" w:hAnsi="UD デジタル 教科書体 NP-R" w:eastAsia="UD デジタル 教科書体 NP-R"/>
          <w:strike w:val="0"/>
          <w:dstrike w:val="0"/>
          <w:color w:val="auto"/>
          <w:sz w:val="21"/>
        </w:rPr>
        <w:t>（規則第</w:t>
      </w:r>
      <w:r>
        <w:rPr>
          <w:rFonts w:hint="eastAsia" w:ascii="UD デジタル 教科書体 NP-R" w:hAnsi="UD デジタル 教科書体 NP-R" w:eastAsia="UD デジタル 教科書体 NP-R"/>
          <w:color w:val="auto"/>
          <w:sz w:val="21"/>
        </w:rPr>
        <w:t>90</w:t>
      </w:r>
      <w:r>
        <w:rPr>
          <w:rFonts w:hint="eastAsia" w:ascii="UD デジタル 教科書体 NP-R" w:hAnsi="UD デジタル 教科書体 NP-R" w:eastAsia="UD デジタル 教科書体 NP-R"/>
          <w:strike w:val="0"/>
          <w:dstrike w:val="0"/>
          <w:color w:val="auto"/>
          <w:sz w:val="21"/>
        </w:rPr>
        <w:t>条において準用する場合を含む。）</w:t>
      </w:r>
      <w:r>
        <w:rPr>
          <w:rFonts w:hint="eastAsia" w:ascii="UD デジタル 教科書体 NP-R" w:hAnsi="UD デジタル 教科書体 NP-R" w:eastAsia="UD デジタル 教科書体 NP-R"/>
          <w:color w:val="auto"/>
          <w:sz w:val="21"/>
        </w:rPr>
        <w:t>により免除された場合は、この限りではない。</w:t>
      </w:r>
      <w:r>
        <w:rPr>
          <w:rFonts w:hint="eastAsia" w:ascii="UD デジタル 教科書体 NP-R" w:hAnsi="UD デジタル 教科書体 NP-R" w:eastAsia="UD デジタル 教科書体 NP-R"/>
          <w:color w:val="auto"/>
          <w:sz w:val="21"/>
        </w:rPr>
        <w:t xml:space="preserve"> </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（入札の方法等）</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210" w:hangingChars="10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第４条</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入札参加者又はその代理人（以下「入札者」という。）は、仕様書、設計書、図面その他入札毎に定める契約締結に必要な条件を熟知のうえ、入札しなければならない。ただし、入札の方法その他について疑義があるときは、関係職員に説明を求めることができる。</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２</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入札者は、指定の日時及び場所に赴き、入札に参加しなければならない。</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210" w:hangingChars="10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３</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代理人が入札をするときは、委任状（第</w:t>
      </w:r>
      <w:r>
        <w:rPr>
          <w:rFonts w:hint="eastAsia" w:ascii="UD デジタル 教科書体 NP-R" w:hAnsi="UD デジタル 教科書体 NP-R" w:eastAsia="UD デジタル 教科書体 NP-R"/>
          <w:color w:val="auto"/>
          <w:sz w:val="21"/>
        </w:rPr>
        <w:t>1</w:t>
      </w:r>
      <w:r>
        <w:rPr>
          <w:rFonts w:hint="eastAsia" w:ascii="UD デジタル 教科書体 NP-R" w:hAnsi="UD デジタル 教科書体 NP-R" w:eastAsia="UD デジタル 教科書体 NP-R"/>
          <w:color w:val="auto"/>
          <w:sz w:val="21"/>
        </w:rPr>
        <w:t>号様式）を入札執行者に提出してその確認を受けた後でなければ、入札書（第</w:t>
      </w:r>
      <w:r>
        <w:rPr>
          <w:rFonts w:hint="eastAsia" w:ascii="UD デジタル 教科書体 NP-R" w:hAnsi="UD デジタル 教科書体 NP-R" w:eastAsia="UD デジタル 教科書体 NP-R"/>
          <w:color w:val="auto"/>
          <w:sz w:val="21"/>
        </w:rPr>
        <w:t>2</w:t>
      </w:r>
      <w:r>
        <w:rPr>
          <w:rFonts w:hint="eastAsia" w:ascii="UD デジタル 教科書体 NP-R" w:hAnsi="UD デジタル 教科書体 NP-R" w:eastAsia="UD デジタル 教科書体 NP-R"/>
          <w:color w:val="auto"/>
          <w:sz w:val="21"/>
        </w:rPr>
        <w:t>号様式）を投かんすることはできない。</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210" w:hangingChars="10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４</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入札者は、入札執行者の指定する場所に待機しなければならない。無断で指定する場所を離れた者又は入札時間帯に入札しない者は、入札を辞退したものとして取り扱う。</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210" w:hangingChars="10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５</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入札執行中は、入札者間の私語及び放言並びに携帯電話等での外部との連絡を禁ずる。これらに関する入札執行者の指示に従わないときは、入札書投かん後であっても、入札の辞退があったものとして取り扱うことがある。</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210" w:hangingChars="100"/>
        <w:textAlignment w:val="auto"/>
        <w:outlineLvl w:val="9"/>
        <w:rPr>
          <w:rFonts w:hint="eastAsia" w:ascii="UD デジタル 教科書体 NP-R" w:hAnsi="UD デジタル 教科書体 NP-R" w:eastAsia="UD デジタル 教科書体 NP-R"/>
          <w:color w:val="auto"/>
          <w:sz w:val="21"/>
        </w:rPr>
      </w:pP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（入札の基本的事項）</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210" w:hangingChars="10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第５条</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入札者は、消費税に係る課税事業者であるか免税事業者であるかを問わず、契約を希望する金額</w:t>
      </w:r>
      <w:r>
        <w:rPr>
          <w:rFonts w:hint="eastAsia" w:ascii="UD デジタル 教科書体 NP-R" w:hAnsi="UD デジタル 教科書体 NP-R" w:eastAsia="UD デジタル 教科書体 NP-R"/>
          <w:strike w:val="0"/>
          <w:dstrike w:val="0"/>
          <w:color w:val="auto"/>
          <w:sz w:val="21"/>
        </w:rPr>
        <w:t>から消費税法（昭和</w:t>
      </w:r>
      <w:r>
        <w:rPr>
          <w:rFonts w:hint="eastAsia" w:ascii="UD デジタル 教科書体 NP-R" w:hAnsi="UD デジタル 教科書体 NP-R" w:eastAsia="UD デジタル 教科書体 NP-R"/>
          <w:strike w:val="0"/>
          <w:dstrike w:val="0"/>
          <w:color w:val="auto"/>
          <w:sz w:val="21"/>
        </w:rPr>
        <w:t>63</w:t>
      </w:r>
      <w:r>
        <w:rPr>
          <w:rFonts w:hint="eastAsia" w:ascii="UD デジタル 教科書体 NP-R" w:hAnsi="UD デジタル 教科書体 NP-R" w:eastAsia="UD デジタル 教科書体 NP-R"/>
          <w:strike w:val="0"/>
          <w:dstrike w:val="0"/>
          <w:color w:val="auto"/>
          <w:sz w:val="21"/>
        </w:rPr>
        <w:t>年法律第</w:t>
      </w:r>
      <w:r>
        <w:rPr>
          <w:rFonts w:hint="eastAsia" w:ascii="UD デジタル 教科書体 NP-R" w:hAnsi="UD デジタル 教科書体 NP-R" w:eastAsia="UD デジタル 教科書体 NP-R"/>
          <w:strike w:val="0"/>
          <w:dstrike w:val="0"/>
          <w:color w:val="auto"/>
          <w:sz w:val="21"/>
        </w:rPr>
        <w:t>108</w:t>
      </w:r>
      <w:r>
        <w:rPr>
          <w:rFonts w:hint="eastAsia" w:ascii="UD デジタル 教科書体 NP-R" w:hAnsi="UD デジタル 教科書体 NP-R" w:eastAsia="UD デジタル 教科書体 NP-R"/>
          <w:strike w:val="0"/>
          <w:dstrike w:val="0"/>
          <w:color w:val="auto"/>
          <w:sz w:val="21"/>
        </w:rPr>
        <w:t>号）に定める消費税の税率を乗じた額及び地方税法（昭和</w:t>
      </w:r>
      <w:r>
        <w:rPr>
          <w:rFonts w:hint="eastAsia" w:ascii="UD デジタル 教科書体 NP-R" w:hAnsi="UD デジタル 教科書体 NP-R" w:eastAsia="UD デジタル 教科書体 NP-R"/>
          <w:strike w:val="0"/>
          <w:dstrike w:val="0"/>
          <w:color w:val="auto"/>
          <w:sz w:val="21"/>
        </w:rPr>
        <w:t>25</w:t>
      </w:r>
      <w:r>
        <w:rPr>
          <w:rFonts w:hint="eastAsia" w:ascii="UD デジタル 教科書体 NP-R" w:hAnsi="UD デジタル 教科書体 NP-R" w:eastAsia="UD デジタル 教科書体 NP-R"/>
          <w:strike w:val="0"/>
          <w:dstrike w:val="0"/>
          <w:color w:val="auto"/>
          <w:sz w:val="21"/>
        </w:rPr>
        <w:t>年法律第</w:t>
      </w:r>
      <w:r>
        <w:rPr>
          <w:rFonts w:hint="eastAsia" w:ascii="UD デジタル 教科書体 NP-R" w:hAnsi="UD デジタル 教科書体 NP-R" w:eastAsia="UD デジタル 教科書体 NP-R"/>
          <w:strike w:val="0"/>
          <w:dstrike w:val="0"/>
          <w:color w:val="auto"/>
          <w:sz w:val="21"/>
        </w:rPr>
        <w:t>226</w:t>
      </w:r>
      <w:r>
        <w:rPr>
          <w:rFonts w:hint="eastAsia" w:ascii="UD デジタル 教科書体 NP-R" w:hAnsi="UD デジタル 教科書体 NP-R" w:eastAsia="UD デジタル 教科書体 NP-R"/>
          <w:strike w:val="0"/>
          <w:dstrike w:val="0"/>
          <w:color w:val="auto"/>
          <w:sz w:val="21"/>
        </w:rPr>
        <w:t>号）に定める地方消費税の税率を乗じて得た額を合算した額（以下「消費税相当額」という。）を差し引いた金額</w:t>
      </w:r>
      <w:r>
        <w:rPr>
          <w:rFonts w:hint="eastAsia" w:ascii="UD デジタル 教科書体 NP-R" w:hAnsi="UD デジタル 教科書体 NP-R" w:eastAsia="UD デジタル 教科書体 NP-R"/>
          <w:color w:val="auto"/>
          <w:sz w:val="21"/>
        </w:rPr>
        <w:t>を別記第</w:t>
      </w:r>
      <w:r>
        <w:rPr>
          <w:rFonts w:hint="eastAsia" w:ascii="UD デジタル 教科書体 NP-R" w:hAnsi="UD デジタル 教科書体 NP-R" w:eastAsia="UD デジタル 教科書体 NP-R"/>
          <w:strike w:val="0"/>
          <w:dstrike w:val="0"/>
          <w:color w:val="auto"/>
          <w:sz w:val="21"/>
        </w:rPr>
        <w:t>２</w:t>
      </w:r>
      <w:r>
        <w:rPr>
          <w:rFonts w:hint="eastAsia" w:ascii="UD デジタル 教科書体 NP-R" w:hAnsi="UD デジタル 教科書体 NP-R" w:eastAsia="UD デジタル 教科書体 NP-R"/>
          <w:color w:val="auto"/>
          <w:sz w:val="21"/>
        </w:rPr>
        <w:t>号様式による入札書に記載して入札しなければならない。</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210" w:hangingChars="10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２</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入札書の金額は、１円未満の端数を付すことができない。１円未満の端数を付したものがあるときは、その端数の金額はないものとして取り扱う。</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３</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入札書の記載事項のうち、金額は訂正することができない。</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210" w:hangingChars="10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４</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前項に定める入札書の記載事項以外について訂正したときは、訂正個所又は入札書の余白に押印し、訂正その他の必要事項を記載しなければならない。</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strike w:val="0"/>
          <w:dstrike w:val="0"/>
          <w:color w:val="auto"/>
          <w:sz w:val="21"/>
        </w:rPr>
        <w:t>５</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入札者は、いったん投かんされた入札書について、取替え又は訂正をすることができない。</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strike w:val="0"/>
          <w:dstrike w:val="0"/>
          <w:color w:val="auto"/>
          <w:sz w:val="21"/>
        </w:rPr>
        <w:t>６</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次の場合には、入札は行わない。</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（１）</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一般競争入札において、当該公告における入札参加資格要件を満たす申請者がないとき</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（２）</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指名競争入札において、入札の辞退等により入札者が１者となったとき</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（３）</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すべての入札において、入札参加者が１者もいなくなったとき</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210" w:hangingChars="10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strike w:val="0"/>
          <w:dstrike w:val="0"/>
          <w:color w:val="auto"/>
          <w:sz w:val="21"/>
        </w:rPr>
        <w:t>７</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一般競争入札においては、入札参加資格確認通知書で入札参加を認めた者が１者でもあるときは、入札を行う。</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（公正な入札の確保）</w:t>
      </w:r>
      <w:r>
        <w:rPr>
          <w:rFonts w:hint="eastAsia" w:ascii="UD デジタル 教科書体 NP-R" w:hAnsi="UD デジタル 教科書体 NP-R" w:eastAsia="UD デジタル 教科書体 NP-R"/>
          <w:color w:val="auto"/>
          <w:sz w:val="21"/>
        </w:rPr>
        <w:t xml:space="preserve"> </w:t>
      </w:r>
    </w:p>
    <w:p>
      <w:pPr>
        <w:pStyle w:val="0"/>
        <w:keepNext w:val="0"/>
        <w:keepLines w:val="0"/>
        <w:pageBreakBefore w:val="0"/>
        <w:widowControl w:val="0"/>
        <w:numPr>
          <w:ilvl w:val="0"/>
          <w:numId w:val="1"/>
        </w:numPr>
        <w:kinsoku w:val="1"/>
        <w:wordWrap w:val="1"/>
        <w:overflowPunct w:val="1"/>
        <w:topLinePunct w:val="0"/>
        <w:autoSpaceDE w:val="1"/>
        <w:autoSpaceDN w:val="1"/>
        <w:adjustRightInd w:val="1"/>
        <w:snapToGrid w:val="1"/>
        <w:spacing w:line="440" w:lineRule="exact"/>
        <w:ind w:left="0" w:leftChars="0" w:right="0" w:rightChars="0" w:hanging="210" w:hangingChars="10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strike w:val="0"/>
          <w:dstrike w:val="0"/>
          <w:color w:val="auto"/>
          <w:sz w:val="21"/>
        </w:rPr>
        <w:t>の２</w:t>
      </w:r>
      <w:r>
        <w:rPr>
          <w:rFonts w:hint="eastAsia" w:ascii="UD デジタル 教科書体 NP-R" w:hAnsi="UD デジタル 教科書体 NP-R" w:eastAsia="UD デジタル 教科書体 NP-R"/>
          <w:strike w:val="0"/>
          <w:dstrike w:val="0"/>
          <w:color w:val="auto"/>
          <w:sz w:val="21"/>
        </w:rPr>
        <w:t xml:space="preserve"> </w:t>
      </w:r>
      <w:r>
        <w:rPr>
          <w:rFonts w:hint="eastAsia" w:ascii="UD デジタル 教科書体 NP-R" w:hAnsi="UD デジタル 教科書体 NP-R" w:eastAsia="UD デジタル 教科書体 NP-R"/>
          <w:color w:val="auto"/>
          <w:sz w:val="21"/>
        </w:rPr>
        <w:t>入札者は、私的独占の禁止及び公正取引の確保に関する法律（昭和</w:t>
      </w:r>
      <w:r>
        <w:rPr>
          <w:rFonts w:hint="eastAsia" w:ascii="UD デジタル 教科書体 NP-R" w:hAnsi="UD デジタル 教科書体 NP-R" w:eastAsia="UD デジタル 教科書体 NP-R"/>
          <w:color w:val="auto"/>
          <w:sz w:val="21"/>
        </w:rPr>
        <w:t>22</w:t>
      </w:r>
      <w:r>
        <w:rPr>
          <w:rFonts w:hint="eastAsia" w:ascii="UD デジタル 教科書体 NP-R" w:hAnsi="UD デジタル 教科書体 NP-R" w:eastAsia="UD デジタル 教科書体 NP-R"/>
          <w:color w:val="auto"/>
          <w:sz w:val="21"/>
        </w:rPr>
        <w:t>年法律第</w:t>
      </w:r>
      <w:r>
        <w:rPr>
          <w:rFonts w:hint="eastAsia" w:ascii="UD デジタル 教科書体 NP-R" w:hAnsi="UD デジタル 教科書体 NP-R" w:eastAsia="UD デジタル 教科書体 NP-R"/>
          <w:color w:val="auto"/>
          <w:sz w:val="21"/>
        </w:rPr>
        <w:t>54</w:t>
      </w:r>
      <w:r>
        <w:rPr>
          <w:rFonts w:hint="eastAsia" w:ascii="UD デジタル 教科書体 NP-R" w:hAnsi="UD デジタル 教科書体 NP-R" w:eastAsia="UD デジタル 教科書体 NP-R"/>
          <w:color w:val="auto"/>
          <w:sz w:val="21"/>
        </w:rPr>
        <w:t>号）等に抵触する行為を行ってはならない。</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（工事費内訳書）</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210" w:hangingChars="10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第</w:t>
      </w:r>
      <w:r>
        <w:rPr>
          <w:rFonts w:hint="eastAsia" w:ascii="UD デジタル 教科書体 NP-R" w:hAnsi="UD デジタル 教科書体 NP-R" w:eastAsia="UD デジタル 教科書体 NP-R"/>
          <w:strike w:val="0"/>
          <w:dstrike w:val="0"/>
          <w:color w:val="auto"/>
          <w:sz w:val="21"/>
        </w:rPr>
        <w:t>６</w:t>
      </w:r>
      <w:r>
        <w:rPr>
          <w:rFonts w:hint="eastAsia" w:ascii="UD デジタル 教科書体 NP-R" w:hAnsi="UD デジタル 教科書体 NP-R" w:eastAsia="UD デジタル 教科書体 NP-R"/>
          <w:color w:val="auto"/>
          <w:sz w:val="21"/>
        </w:rPr>
        <w:t>条</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建設工事に係る競争入札において、入札者は、入札金額に係る積算の内訳を明らかにした工事費内訳書（以下「工事費内訳書」という。）を、入札に際し、全員必ず提出しなければならない。</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210" w:hangingChars="10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２</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工事費内訳書は、入札会場で作成することは認めず、その作成権限を代理人に委任することはできない。</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210" w:hangingChars="10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３</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工事費内訳書は、別記第</w:t>
      </w:r>
      <w:r>
        <w:rPr>
          <w:rFonts w:hint="eastAsia" w:ascii="UD デジタル 教科書体 NP-R" w:hAnsi="UD デジタル 教科書体 NP-R" w:eastAsia="UD デジタル 教科書体 NP-R"/>
          <w:strike w:val="0"/>
          <w:dstrike w:val="0"/>
          <w:color w:val="auto"/>
          <w:sz w:val="21"/>
        </w:rPr>
        <w:t>３</w:t>
      </w:r>
      <w:r>
        <w:rPr>
          <w:rFonts w:hint="eastAsia" w:ascii="UD デジタル 教科書体 NP-R" w:hAnsi="UD デジタル 教科書体 NP-R" w:eastAsia="UD デジタル 教科書体 NP-R"/>
          <w:color w:val="auto"/>
          <w:sz w:val="21"/>
        </w:rPr>
        <w:t>号様式によるものとする。ただし、同様式に記載すべき事項の記載があれば、必ずしも当該様式によらなくてもよいものとする。</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210" w:hangingChars="10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４</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落札者の工事費内訳書は、契約締結時には請負代金内訳書に代わるものとして取扱うことができる（発注者が別途必要と認める場合を除く）。</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５</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工事費内訳書の取扱いについては、特別な定めがあるものを除き、入札書の取扱いに準ずる。</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（入札の取りやめ等）</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210" w:hangingChars="10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第</w:t>
      </w:r>
      <w:r>
        <w:rPr>
          <w:rFonts w:hint="eastAsia" w:ascii="UD デジタル 教科書体 NP-R" w:hAnsi="UD デジタル 教科書体 NP-R" w:eastAsia="UD デジタル 教科書体 NP-R"/>
          <w:strike w:val="0"/>
          <w:dstrike w:val="0"/>
          <w:color w:val="auto"/>
          <w:sz w:val="21"/>
        </w:rPr>
        <w:t>７</w:t>
      </w:r>
      <w:r>
        <w:rPr>
          <w:rFonts w:hint="eastAsia" w:ascii="UD デジタル 教科書体 NP-R" w:hAnsi="UD デジタル 教科書体 NP-R" w:eastAsia="UD デジタル 教科書体 NP-R"/>
          <w:color w:val="auto"/>
          <w:sz w:val="21"/>
        </w:rPr>
        <w:t>条</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次の各号のいずれかに該当する場合は、入札の執行を延期若しくは取りやめ、又は当該入札者を入札に参加させない措置をとるものとし、直ちに該当する入札参加者に伝えなければならない。</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（１）</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天災その他やむを得ない理由があると認められるとき</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630" w:hangingChars="30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（２）</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入札者が談合し、又は不穏な行動をする等、入札を公正に執行することができないと認められるとき</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（入札の辞退）</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210" w:hangingChars="10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第</w:t>
      </w:r>
      <w:r>
        <w:rPr>
          <w:rFonts w:hint="eastAsia" w:ascii="UD デジタル 教科書体 NP-R" w:hAnsi="UD デジタル 教科書体 NP-R" w:eastAsia="UD デジタル 教科書体 NP-R"/>
          <w:strike w:val="0"/>
          <w:dstrike w:val="0"/>
          <w:color w:val="auto"/>
          <w:sz w:val="21"/>
        </w:rPr>
        <w:t>８</w:t>
      </w:r>
      <w:r>
        <w:rPr>
          <w:rFonts w:hint="eastAsia" w:ascii="UD デジタル 教科書体 NP-R" w:hAnsi="UD デジタル 教科書体 NP-R" w:eastAsia="UD デジタル 教科書体 NP-R"/>
          <w:color w:val="auto"/>
          <w:sz w:val="21"/>
        </w:rPr>
        <w:t>条</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入札者は、開札が行われるまでは、いつでも辞退することができる。なお、あらかじめ辞退することが明確である場合には、入札執行日の前日までに申し出るように努めること。</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２</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入札者が入札を辞退するときは、その旨を次に掲げる方法により申し出るものとする。</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630" w:hangingChars="30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（１）</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入札執行前にあっては、別記第</w:t>
      </w:r>
      <w:r>
        <w:rPr>
          <w:rFonts w:hint="eastAsia" w:ascii="UD デジタル 教科書体 NP-R" w:hAnsi="UD デジタル 教科書体 NP-R" w:eastAsia="UD デジタル 教科書体 NP-R"/>
          <w:strike w:val="0"/>
          <w:dstrike w:val="0"/>
          <w:color w:val="auto"/>
          <w:sz w:val="21"/>
        </w:rPr>
        <w:t>４</w:t>
      </w:r>
      <w:r>
        <w:rPr>
          <w:rFonts w:hint="eastAsia" w:ascii="UD デジタル 教科書体 NP-R" w:hAnsi="UD デジタル 教科書体 NP-R" w:eastAsia="UD デジタル 教科書体 NP-R"/>
          <w:color w:val="auto"/>
          <w:sz w:val="21"/>
        </w:rPr>
        <w:t>号様式による入札辞退届を契約担当者に直接持参し、又は郵送する（いずれの場合も、入札日の前日までに到達しなければならないものとする。）。</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630" w:hangingChars="30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（２）</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入札執行中にあっては、前号の入札辞退届又はその旨を記載した入札書を入札執行者に直接提出することを原則とし、口頭による場合はその旨を入札執行者及び立会人の双方に告げて確認を受ける。</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３</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入札を辞退した者は、これを理由として不利益な取扱いを受けることはない。</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（無効の入札）</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第</w:t>
      </w:r>
      <w:r>
        <w:rPr>
          <w:rFonts w:hint="eastAsia" w:ascii="UD デジタル 教科書体 NP-R" w:hAnsi="UD デジタル 教科書体 NP-R" w:eastAsia="UD デジタル 教科書体 NP-R"/>
          <w:strike w:val="0"/>
          <w:dstrike w:val="0"/>
          <w:color w:val="auto"/>
          <w:sz w:val="21"/>
        </w:rPr>
        <w:t>９</w:t>
      </w:r>
      <w:r>
        <w:rPr>
          <w:rFonts w:hint="eastAsia" w:ascii="UD デジタル 教科書体 NP-R" w:hAnsi="UD デジタル 教科書体 NP-R" w:eastAsia="UD デジタル 教科書体 NP-R"/>
          <w:color w:val="auto"/>
          <w:sz w:val="21"/>
        </w:rPr>
        <w:t>条</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次の各号のいずれかに該当する場合は、当該入札書を無効とする。</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630" w:hangingChars="30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（１）</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入札参加者の記名及び押印（代理人による入札の場合は、入札参加者の記名及び代理人の記名押印）を欠く入札書</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（２）</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誤字脱字等により、その意思表示が不明瞭である入札書</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（３）</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入札の金額を訂正した入札又は金額未記入の入札書</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（４）</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予定価格事後公表の入札において、予定価格を上回る価格の入札をした入札書</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630" w:hangingChars="300"/>
        <w:textAlignment w:val="auto"/>
        <w:outlineLvl w:val="9"/>
        <w:rPr>
          <w:rFonts w:hint="eastAsia" w:ascii="UD デジタル 教科書体 NP-R" w:hAnsi="UD デジタル 教科書体 NP-R" w:eastAsia="UD デジタル 教科書体 NP-R"/>
          <w:strike w:val="0"/>
          <w:dstrike w:val="0"/>
          <w:color w:val="auto"/>
          <w:sz w:val="21"/>
        </w:rPr>
      </w:pPr>
      <w:r>
        <w:rPr>
          <w:rFonts w:hint="eastAsia" w:ascii="UD デジタル 教科書体 NP-R" w:hAnsi="UD デジタル 教科書体 NP-R" w:eastAsia="UD デジタル 教科書体 NP-R"/>
          <w:strike w:val="0"/>
          <w:dstrike w:val="0"/>
          <w:color w:val="auto"/>
          <w:sz w:val="21"/>
        </w:rPr>
        <w:t xml:space="preserve"> </w:t>
      </w:r>
      <w:r>
        <w:rPr>
          <w:rFonts w:hint="eastAsia" w:ascii="UD デジタル 教科書体 NP-R" w:hAnsi="UD デジタル 教科書体 NP-R" w:eastAsia="UD デジタル 教科書体 NP-R"/>
          <w:strike w:val="0"/>
          <w:dstrike w:val="0"/>
          <w:color w:val="auto"/>
          <w:sz w:val="21"/>
        </w:rPr>
        <w:t>（５）</w:t>
      </w:r>
      <w:r>
        <w:rPr>
          <w:rFonts w:hint="eastAsia" w:ascii="UD デジタル 教科書体 NP-R" w:hAnsi="UD デジタル 教科書体 NP-R" w:eastAsia="UD デジタル 教科書体 NP-R"/>
          <w:strike w:val="0"/>
          <w:dstrike w:val="0"/>
          <w:color w:val="auto"/>
          <w:sz w:val="21"/>
        </w:rPr>
        <w:t xml:space="preserve"> </w:t>
      </w:r>
      <w:r>
        <w:rPr>
          <w:rFonts w:hint="eastAsia" w:ascii="UD デジタル 教科書体 NP-R" w:hAnsi="UD デジタル 教科書体 NP-R" w:eastAsia="UD デジタル 教科書体 NP-R"/>
          <w:strike w:val="0"/>
          <w:dstrike w:val="0"/>
          <w:color w:val="auto"/>
          <w:sz w:val="21"/>
        </w:rPr>
        <w:t>第６条による工事費内訳書を提出しないとき又は提出された工事費内訳書に記載事項の不</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630" w:leftChars="300" w:right="0" w:rightChars="0" w:firstLine="0" w:firstLineChars="0"/>
        <w:textAlignment w:val="auto"/>
        <w:outlineLvl w:val="9"/>
        <w:rPr>
          <w:rFonts w:hint="eastAsia" w:ascii="UD デジタル 教科書体 NP-R" w:hAnsi="UD デジタル 教科書体 NP-R" w:eastAsia="UD デジタル 教科書体 NP-R"/>
          <w:strike w:val="0"/>
          <w:dstrike w:val="0"/>
          <w:color w:val="auto"/>
          <w:sz w:val="21"/>
        </w:rPr>
      </w:pPr>
      <w:r>
        <w:rPr>
          <w:rFonts w:hint="eastAsia" w:ascii="UD デジタル 教科書体 NP-R" w:hAnsi="UD デジタル 教科書体 NP-R" w:eastAsia="UD デジタル 教科書体 NP-R"/>
          <w:strike w:val="0"/>
          <w:dstrike w:val="0"/>
          <w:color w:val="auto"/>
          <w:sz w:val="21"/>
        </w:rPr>
        <w:t>足や不備（必要な工種・種別・細別等の記載がない場合や、入札金額と一致しないなど）があると判断されるとき（軽微な不足や不備は除く）</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630" w:hangingChars="30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strike w:val="0"/>
          <w:dstrike w:val="0"/>
          <w:color w:val="auto"/>
          <w:sz w:val="21"/>
        </w:rPr>
        <w:t xml:space="preserve"> </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（６）</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その他、入札の諸条件に違反した入札書</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（失格の入札）</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第</w:t>
      </w:r>
      <w:r>
        <w:rPr>
          <w:rFonts w:hint="eastAsia" w:ascii="UD デジタル 教科書体 NP-R" w:hAnsi="UD デジタル 教科書体 NP-R" w:eastAsia="UD デジタル 教科書体 NP-R"/>
          <w:strike w:val="0"/>
          <w:dstrike w:val="0"/>
          <w:color w:val="auto"/>
          <w:sz w:val="21"/>
        </w:rPr>
        <w:t>10</w:t>
      </w:r>
      <w:r>
        <w:rPr>
          <w:rFonts w:hint="eastAsia" w:ascii="UD デジタル 教科書体 NP-R" w:hAnsi="UD デジタル 教科書体 NP-R" w:eastAsia="UD デジタル 教科書体 NP-R"/>
          <w:color w:val="auto"/>
          <w:sz w:val="21"/>
        </w:rPr>
        <w:t>条</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次の各号のいずれかに該当する場合は、その者を失格とする。</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（１）</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入札に参加する資格のない者が入札をしたとき</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（２）</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委任状を持参しない代理人が入札をしたとき</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630" w:hangingChars="30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（３）</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所定の入札保証金若しくは入札保証金に代わる担保を納付しない者又は提供しない者（第３条ただし書の規定により入札保証金を免除された者を除く。）が入札をしたとき</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630" w:hangingChars="30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（４）</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同一事項の入札について他の入札の代理人を兼ね、又は２人以上の入札参加者の代理をした者が入札をしたとき</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（５）</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所定の入札箱に投かんしなかったとき</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（６）</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予定価格事前公表の入札において、予定価格を上回る入札書記載金額の入札をしたとき</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（７）</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最低制限価格を下回る入札書記載金額の入札をしたとき</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（８）</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第</w:t>
      </w:r>
      <w:r>
        <w:rPr>
          <w:rFonts w:hint="eastAsia" w:ascii="UD デジタル 教科書体 NP-R" w:hAnsi="UD デジタル 教科書体 NP-R" w:eastAsia="UD デジタル 教科書体 NP-R"/>
          <w:strike w:val="0"/>
          <w:dstrike w:val="0"/>
          <w:color w:val="auto"/>
          <w:sz w:val="21"/>
        </w:rPr>
        <w:t>15</w:t>
      </w:r>
      <w:r>
        <w:rPr>
          <w:rFonts w:hint="eastAsia" w:ascii="UD デジタル 教科書体 NP-R" w:hAnsi="UD デジタル 教科書体 NP-R" w:eastAsia="UD デジタル 教科書体 NP-R"/>
          <w:color w:val="auto"/>
          <w:sz w:val="21"/>
        </w:rPr>
        <w:t>条のくじに参加しないとき</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（９）</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明らかに談合によると認められる入札をしたとき</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210" w:hangingChars="10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２</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前項第６号に該当する入札を行った入札者で、事前公表されているにもかかわらずその価格で入札を行った理由書の提出を求められた場合は、速やかに提出しなければならない。</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（落札者の決定方法）</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210" w:hangingChars="10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第</w:t>
      </w:r>
      <w:r>
        <w:rPr>
          <w:rFonts w:hint="eastAsia" w:ascii="UD デジタル 教科書体 NP-R" w:hAnsi="UD デジタル 教科書体 NP-R" w:eastAsia="UD デジタル 教科書体 NP-R"/>
          <w:strike w:val="0"/>
          <w:dstrike w:val="0"/>
          <w:color w:val="auto"/>
          <w:sz w:val="21"/>
        </w:rPr>
        <w:t>11</w:t>
      </w:r>
      <w:r>
        <w:rPr>
          <w:rFonts w:hint="eastAsia" w:ascii="UD デジタル 教科書体 NP-R" w:hAnsi="UD デジタル 教科書体 NP-R" w:eastAsia="UD デジタル 教科書体 NP-R"/>
          <w:color w:val="auto"/>
          <w:sz w:val="21"/>
        </w:rPr>
        <w:t>条</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次条及び第</w:t>
      </w:r>
      <w:r>
        <w:rPr>
          <w:rFonts w:hint="eastAsia" w:ascii="UD デジタル 教科書体 NP-R" w:hAnsi="UD デジタル 教科書体 NP-R" w:eastAsia="UD デジタル 教科書体 NP-R"/>
          <w:strike w:val="0"/>
          <w:dstrike w:val="0"/>
          <w:color w:val="auto"/>
          <w:sz w:val="21"/>
        </w:rPr>
        <w:t>13</w:t>
      </w:r>
      <w:r>
        <w:rPr>
          <w:rFonts w:hint="eastAsia" w:ascii="UD デジタル 教科書体 NP-R" w:hAnsi="UD デジタル 教科書体 NP-R" w:eastAsia="UD デジタル 教科書体 NP-R"/>
          <w:color w:val="auto"/>
          <w:sz w:val="21"/>
        </w:rPr>
        <w:t>条に規定する場合を除き、予定価格の制限の範囲内で最低の価格をもって入札した者を落札者とする。</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（最低制限価格を設けた場合等の落札者の決定方法）</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210" w:hangingChars="10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第</w:t>
      </w:r>
      <w:r>
        <w:rPr>
          <w:rFonts w:hint="eastAsia" w:ascii="UD デジタル 教科書体 NP-R" w:hAnsi="UD デジタル 教科書体 NP-R" w:eastAsia="UD デジタル 教科書体 NP-R"/>
          <w:strike w:val="0"/>
          <w:dstrike w:val="0"/>
          <w:color w:val="auto"/>
          <w:sz w:val="21"/>
        </w:rPr>
        <w:t>12</w:t>
      </w:r>
      <w:r>
        <w:rPr>
          <w:rFonts w:hint="eastAsia" w:ascii="UD デジタル 教科書体 NP-R" w:hAnsi="UD デジタル 教科書体 NP-R" w:eastAsia="UD デジタル 教科書体 NP-R"/>
          <w:color w:val="auto"/>
          <w:sz w:val="21"/>
        </w:rPr>
        <w:t>条</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当該内容に適合した契約の履行を確保するため、あらかじめ最低制限価格を設けたときは、予定価格と最低制限価格の範囲内で最低の価格をもって入札した者を落札者とする。</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（総合評価方式における落札者の決定方法）</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210" w:hangingChars="10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strike w:val="0"/>
          <w:dstrike w:val="0"/>
          <w:color w:val="auto"/>
          <w:sz w:val="21"/>
        </w:rPr>
        <w:t>第</w:t>
      </w:r>
      <w:r>
        <w:rPr>
          <w:rFonts w:hint="eastAsia" w:ascii="UD デジタル 教科書体 NP-R" w:hAnsi="UD デジタル 教科書体 NP-R" w:eastAsia="UD デジタル 教科書体 NP-R"/>
          <w:strike w:val="0"/>
          <w:dstrike w:val="0"/>
          <w:color w:val="auto"/>
          <w:sz w:val="21"/>
        </w:rPr>
        <w:t>13</w:t>
      </w:r>
      <w:r>
        <w:rPr>
          <w:rFonts w:hint="eastAsia" w:ascii="UD デジタル 教科書体 NP-R" w:hAnsi="UD デジタル 教科書体 NP-R" w:eastAsia="UD デジタル 教科書体 NP-R"/>
          <w:strike w:val="0"/>
          <w:dstrike w:val="0"/>
          <w:color w:val="auto"/>
          <w:sz w:val="21"/>
        </w:rPr>
        <w:t>条</w:t>
      </w:r>
      <w:r>
        <w:rPr>
          <w:rFonts w:hint="eastAsia" w:ascii="UD デジタル 教科書体 NP-R" w:hAnsi="UD デジタル 教科書体 NP-R" w:eastAsia="UD デジタル 教科書体 NP-R"/>
          <w:strike w:val="0"/>
          <w:dstrike w:val="0"/>
          <w:color w:val="auto"/>
          <w:sz w:val="21"/>
        </w:rPr>
        <w:t xml:space="preserve"> </w:t>
      </w:r>
      <w:r>
        <w:rPr>
          <w:rFonts w:hint="eastAsia" w:ascii="UD デジタル 教科書体 NP-R" w:hAnsi="UD デジタル 教科書体 NP-R" w:eastAsia="UD デジタル 教科書体 NP-R"/>
          <w:color w:val="auto"/>
          <w:sz w:val="21"/>
        </w:rPr>
        <w:t>総合評価方式による競争入札の落札者は、入札者の価格と、入札者の施工能力や配置予定技術者の能力その他当該工事の施工に必要と認められる事項の評価を入札価格と併せて算定した評価値が最も高く、かつ、入札価格が予定価格と別に定める失格基準価格の範囲内である者とする。ただし、当該契約の内容に適合した履行がなされないおそれがあると認められるとき、又は契約を締結することが公正な取引の秩序を乱すおそれがあって著しく不適当と認められるときはその者を落札者とせず、政令第</w:t>
      </w:r>
      <w:r>
        <w:rPr>
          <w:rFonts w:hint="eastAsia" w:ascii="UD デジタル 教科書体 NP-R" w:hAnsi="UD デジタル 教科書体 NP-R" w:eastAsia="UD デジタル 教科書体 NP-R"/>
          <w:color w:val="auto"/>
          <w:sz w:val="21"/>
        </w:rPr>
        <w:t>167</w:t>
      </w:r>
      <w:r>
        <w:rPr>
          <w:rFonts w:hint="eastAsia" w:ascii="UD デジタル 教科書体 NP-R" w:hAnsi="UD デジタル 教科書体 NP-R" w:eastAsia="UD デジタル 教科書体 NP-R"/>
          <w:color w:val="auto"/>
          <w:sz w:val="21"/>
        </w:rPr>
        <w:t>条の</w:t>
      </w:r>
      <w:r>
        <w:rPr>
          <w:rFonts w:hint="eastAsia" w:ascii="UD デジタル 教科書体 NP-R" w:hAnsi="UD デジタル 教科書体 NP-R" w:eastAsia="UD デジタル 教科書体 NP-R"/>
          <w:color w:val="auto"/>
          <w:sz w:val="21"/>
        </w:rPr>
        <w:t>10</w:t>
      </w:r>
      <w:r>
        <w:rPr>
          <w:rFonts w:hint="eastAsia" w:ascii="UD デジタル 教科書体 NP-R" w:hAnsi="UD デジタル 教科書体 NP-R" w:eastAsia="UD デジタル 教科書体 NP-R"/>
          <w:color w:val="auto"/>
          <w:sz w:val="21"/>
        </w:rPr>
        <w:t>の２第２項の規定により予定価格と別に定める失格基準価格範囲内の価格をもって申込みをした他の者のうち最も評価値の高い者を落札者とすることができる。</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（落札宣言）</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210" w:hangingChars="10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第</w:t>
      </w:r>
      <w:r>
        <w:rPr>
          <w:rFonts w:hint="eastAsia" w:ascii="UD デジタル 教科書体 NP-R" w:hAnsi="UD デジタル 教科書体 NP-R" w:eastAsia="UD デジタル 教科書体 NP-R"/>
          <w:strike w:val="0"/>
          <w:dstrike w:val="0"/>
          <w:color w:val="auto"/>
          <w:sz w:val="21"/>
        </w:rPr>
        <w:t>14</w:t>
      </w:r>
      <w:r>
        <w:rPr>
          <w:rFonts w:hint="eastAsia" w:ascii="UD デジタル 教科書体 NP-R" w:hAnsi="UD デジタル 教科書体 NP-R" w:eastAsia="UD デジタル 教科書体 NP-R"/>
          <w:color w:val="auto"/>
          <w:sz w:val="21"/>
        </w:rPr>
        <w:t>条</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第</w:t>
      </w:r>
      <w:r>
        <w:rPr>
          <w:rFonts w:hint="eastAsia" w:ascii="UD デジタル 教科書体 NP-R" w:hAnsi="UD デジタル 教科書体 NP-R" w:eastAsia="UD デジタル 教科書体 NP-R"/>
          <w:strike w:val="0"/>
          <w:dstrike w:val="0"/>
          <w:color w:val="auto"/>
          <w:sz w:val="21"/>
        </w:rPr>
        <w:t>11</w:t>
      </w:r>
      <w:r>
        <w:rPr>
          <w:rFonts w:hint="eastAsia" w:ascii="UD デジタル 教科書体 NP-R" w:hAnsi="UD デジタル 教科書体 NP-R" w:eastAsia="UD デジタル 教科書体 NP-R"/>
          <w:color w:val="auto"/>
          <w:sz w:val="21"/>
        </w:rPr>
        <w:t>条から前条までにおいて落札となる入札があったときは、工事番号及び工事名</w:t>
      </w:r>
      <w:r>
        <w:rPr>
          <w:rFonts w:hint="eastAsia" w:ascii="UD デジタル 教科書体 NP-R" w:hAnsi="UD デジタル 教科書体 NP-R" w:eastAsia="UD デジタル 教科書体 NP-R"/>
          <w:strike w:val="0"/>
          <w:dstrike w:val="0"/>
          <w:color w:val="auto"/>
          <w:sz w:val="21"/>
        </w:rPr>
        <w:t>（委託業務にあっては業務番号及び業務名など）</w:t>
      </w:r>
      <w:r>
        <w:rPr>
          <w:rFonts w:hint="eastAsia" w:ascii="UD デジタル 教科書体 NP-R" w:hAnsi="UD デジタル 教科書体 NP-R" w:eastAsia="UD デジタル 教科書体 NP-R"/>
          <w:color w:val="auto"/>
          <w:sz w:val="21"/>
        </w:rPr>
        <w:t>、入札書記載金額に</w:t>
      </w:r>
      <w:r>
        <w:rPr>
          <w:rFonts w:hint="eastAsia" w:ascii="UD デジタル 教科書体 NP-R" w:hAnsi="UD デジタル 教科書体 NP-R" w:eastAsia="UD デジタル 教科書体 NP-R"/>
          <w:strike w:val="0"/>
          <w:dstrike w:val="0"/>
          <w:color w:val="auto"/>
          <w:sz w:val="21"/>
        </w:rPr>
        <w:t>消費税相当額</w:t>
      </w:r>
      <w:r>
        <w:rPr>
          <w:rFonts w:hint="eastAsia" w:ascii="UD デジタル 教科書体 NP-R" w:hAnsi="UD デジタル 教科書体 NP-R" w:eastAsia="UD デジタル 教科書体 NP-R"/>
          <w:color w:val="auto"/>
          <w:sz w:val="21"/>
        </w:rPr>
        <w:t>を加算した金額で落札した旨及び落札者を宣言して、落札を決定する。</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（同額等の入札者が２者以上ある場合の落札者の決定方法）</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210" w:hangingChars="10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第</w:t>
      </w:r>
      <w:r>
        <w:rPr>
          <w:rFonts w:hint="eastAsia" w:ascii="UD デジタル 教科書体 NP-R" w:hAnsi="UD デジタル 教科書体 NP-R" w:eastAsia="UD デジタル 教科書体 NP-R"/>
          <w:strike w:val="0"/>
          <w:dstrike w:val="0"/>
          <w:color w:val="auto"/>
          <w:sz w:val="21"/>
        </w:rPr>
        <w:t>15</w:t>
      </w:r>
      <w:r>
        <w:rPr>
          <w:rFonts w:hint="eastAsia" w:ascii="UD デジタル 教科書体 NP-R" w:hAnsi="UD デジタル 教科書体 NP-R" w:eastAsia="UD デジタル 教科書体 NP-R"/>
          <w:color w:val="auto"/>
          <w:sz w:val="21"/>
        </w:rPr>
        <w:t>条</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落札となるべき同額の入札をした者（</w:t>
      </w:r>
      <w:r>
        <w:rPr>
          <w:rFonts w:hint="eastAsia" w:ascii="UD デジタル 教科書体 NP-R" w:hAnsi="UD デジタル 教科書体 NP-R" w:eastAsia="UD デジタル 教科書体 NP-R"/>
          <w:strike w:val="0"/>
          <w:dstrike w:val="0"/>
          <w:color w:val="auto"/>
          <w:sz w:val="21"/>
        </w:rPr>
        <w:t>総合評価方式</w:t>
      </w:r>
      <w:r>
        <w:rPr>
          <w:rFonts w:hint="eastAsia" w:ascii="UD デジタル 教科書体 NP-R" w:hAnsi="UD デジタル 教科書体 NP-R" w:eastAsia="UD デジタル 教科書体 NP-R"/>
          <w:color w:val="auto"/>
          <w:sz w:val="21"/>
        </w:rPr>
        <w:t>においては評価値が同じ者）が２者以上あるときは、直ちにくじを引かせて落札者を決定する。このとき、入札者は、当該くじへの参加を辞退することができない。くじへの参加を辞退する者は、第</w:t>
      </w:r>
      <w:r>
        <w:rPr>
          <w:rFonts w:hint="eastAsia" w:ascii="UD デジタル 教科書体 NP-R" w:hAnsi="UD デジタル 教科書体 NP-R" w:eastAsia="UD デジタル 教科書体 NP-R"/>
          <w:strike w:val="0"/>
          <w:dstrike w:val="0"/>
          <w:color w:val="auto"/>
          <w:sz w:val="21"/>
        </w:rPr>
        <w:t>10</w:t>
      </w:r>
      <w:r>
        <w:rPr>
          <w:rFonts w:hint="eastAsia" w:ascii="UD デジタル 教科書体 NP-R" w:hAnsi="UD デジタル 教科書体 NP-R" w:eastAsia="UD デジタル 教科書体 NP-R"/>
          <w:color w:val="auto"/>
          <w:sz w:val="21"/>
        </w:rPr>
        <w:t>条第１項第８号により失格とするとともに、落札したにもかかわらず契約締結を辞退したものとして取り扱う。</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（入札の保留）</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210" w:hangingChars="10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第</w:t>
      </w:r>
      <w:r>
        <w:rPr>
          <w:rFonts w:hint="eastAsia" w:ascii="UD デジタル 教科書体 NP-R" w:hAnsi="UD デジタル 教科書体 NP-R" w:eastAsia="UD デジタル 教科書体 NP-R"/>
          <w:strike w:val="0"/>
          <w:dstrike w:val="0"/>
          <w:color w:val="auto"/>
          <w:sz w:val="21"/>
        </w:rPr>
        <w:t>16</w:t>
      </w:r>
      <w:r>
        <w:rPr>
          <w:rFonts w:hint="eastAsia" w:ascii="UD デジタル 教科書体 NP-R" w:hAnsi="UD デジタル 教科書体 NP-R" w:eastAsia="UD デジタル 教科書体 NP-R"/>
          <w:color w:val="auto"/>
          <w:sz w:val="21"/>
        </w:rPr>
        <w:t>条</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strike w:val="0"/>
          <w:dstrike w:val="0"/>
          <w:color w:val="auto"/>
          <w:sz w:val="21"/>
        </w:rPr>
        <w:t>予定価格調書に瑕疵があるとき、</w:t>
      </w:r>
      <w:r>
        <w:rPr>
          <w:rFonts w:hint="eastAsia" w:ascii="UD デジタル 教科書体 NP-R" w:hAnsi="UD デジタル 教科書体 NP-R" w:eastAsia="UD デジタル 教科書体 NP-R"/>
          <w:color w:val="auto"/>
          <w:sz w:val="21"/>
        </w:rPr>
        <w:t>その他やむを得ない事情があるときは、入札を保留する。</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210" w:hangingChars="100"/>
        <w:textAlignment w:val="auto"/>
        <w:outlineLvl w:val="9"/>
        <w:rPr>
          <w:rFonts w:hint="eastAsia" w:ascii="UD デジタル 教科書体 NP-R" w:hAnsi="UD デジタル 教科書体 NP-R" w:eastAsia="UD デジタル 教科書体 NP-R"/>
          <w:strike w:val="1"/>
          <w:dstrike w:val="0"/>
          <w:color w:val="auto"/>
          <w:sz w:val="21"/>
        </w:rPr>
      </w:pPr>
      <w:r>
        <w:rPr>
          <w:rFonts w:hint="eastAsia" w:ascii="UD デジタル 教科書体 NP-R" w:hAnsi="UD デジタル 教科書体 NP-R" w:eastAsia="UD デジタル 教科書体 NP-R"/>
          <w:color w:val="auto"/>
          <w:sz w:val="21"/>
        </w:rPr>
        <w:t>２</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前項により入札の保留を行ったときは、速やかにその対応を決定し、すべての入札参加者に通知しなければならない。</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（再度入札）</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210" w:hangingChars="10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第</w:t>
      </w:r>
      <w:r>
        <w:rPr>
          <w:rFonts w:hint="eastAsia" w:ascii="UD デジタル 教科書体 NP-R" w:hAnsi="UD デジタル 教科書体 NP-R" w:eastAsia="UD デジタル 教科書体 NP-R"/>
          <w:color w:val="auto"/>
          <w:sz w:val="21"/>
        </w:rPr>
        <w:t>17</w:t>
      </w:r>
      <w:r>
        <w:rPr>
          <w:rFonts w:hint="eastAsia" w:ascii="UD デジタル 教科書体 NP-R" w:hAnsi="UD デジタル 教科書体 NP-R" w:eastAsia="UD デジタル 教科書体 NP-R"/>
          <w:color w:val="auto"/>
          <w:sz w:val="21"/>
        </w:rPr>
        <w:t>条</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開札の結果、落札となるべき入札がないときは、</w:t>
      </w:r>
      <w:r>
        <w:rPr>
          <w:rFonts w:hint="eastAsia" w:ascii="UD デジタル 教科書体 NP-R" w:hAnsi="UD デジタル 教科書体 NP-R" w:eastAsia="UD デジタル 教科書体 NP-R"/>
          <w:strike w:val="0"/>
          <w:dstrike w:val="0"/>
          <w:color w:val="auto"/>
          <w:sz w:val="21"/>
        </w:rPr>
        <w:t>前条の規定による場合を除き</w:t>
      </w:r>
      <w:r>
        <w:rPr>
          <w:rFonts w:hint="eastAsia" w:ascii="UD デジタル 教科書体 NP-R" w:hAnsi="UD デジタル 教科書体 NP-R" w:eastAsia="UD デジタル 教科書体 NP-R"/>
          <w:color w:val="auto"/>
          <w:sz w:val="21"/>
        </w:rPr>
        <w:t>直ちに再度の入札を行う。ただし、</w:t>
      </w:r>
      <w:r>
        <w:rPr>
          <w:rFonts w:hint="eastAsia" w:ascii="UD デジタル 教科書体 NP-R" w:hAnsi="UD デジタル 教科書体 NP-R" w:eastAsia="UD デジタル 教科書体 NP-R"/>
          <w:strike w:val="0"/>
          <w:dstrike w:val="0"/>
          <w:color w:val="auto"/>
          <w:sz w:val="21"/>
        </w:rPr>
        <w:t>指名競争入札において</w:t>
      </w:r>
      <w:r>
        <w:rPr>
          <w:rFonts w:hint="eastAsia" w:ascii="UD デジタル 教科書体 NP-R" w:hAnsi="UD デジタル 教科書体 NP-R" w:eastAsia="UD デジタル 教科書体 NP-R"/>
          <w:color w:val="auto"/>
          <w:sz w:val="21"/>
        </w:rPr>
        <w:t>再度入札を行う前に入札の辞退等により入札者が１者となったときは、この限りではない。</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strike w:val="0"/>
          <w:dstrike w:val="0"/>
          <w:color w:val="auto"/>
          <w:sz w:val="21"/>
        </w:rPr>
        <w:t>２</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再度入札は、２回（初度入札を含め３回）まで行う。</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210" w:hangingChars="10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３</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再度入札においてその前回の入札の最低価格以上の入札を行った者は、入札辞退の意思表示があったものとみなす。</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４</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次の各号のいずれかに該当する入札者は、再度入札に参加することができない。</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（１）</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入札を辞退した者</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（２）</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入札辞退として取り扱われた者</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（３）</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入札の結果失格となった者</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210" w:hangingChars="100"/>
        <w:textAlignment w:val="auto"/>
        <w:outlineLvl w:val="9"/>
        <w:rPr>
          <w:rFonts w:hint="eastAsia" w:ascii="UD デジタル 教科書体 NP-R" w:hAnsi="UD デジタル 教科書体 NP-R" w:eastAsia="UD デジタル 教科書体 NP-R"/>
          <w:strike w:val="1"/>
          <w:dstrike w:val="0"/>
          <w:color w:val="auto"/>
          <w:sz w:val="21"/>
        </w:rPr>
      </w:pPr>
      <w:r>
        <w:rPr>
          <w:rFonts w:hint="eastAsia" w:ascii="UD デジタル 教科書体 NP-R" w:hAnsi="UD デジタル 教科書体 NP-R" w:eastAsia="UD デジタル 教科書体 NP-R"/>
          <w:color w:val="auto"/>
          <w:sz w:val="21"/>
        </w:rPr>
        <w:t>５</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建設工事に係る競争入札における再度入札に当たって、入札者は工事費内訳書の提出を要しないものとする。</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210" w:hangingChars="100"/>
        <w:textAlignment w:val="auto"/>
        <w:outlineLvl w:val="9"/>
        <w:rPr>
          <w:rFonts w:hint="eastAsia" w:ascii="UD デジタル 教科書体 NP-R" w:hAnsi="UD デジタル 教科書体 NP-R" w:eastAsia="UD デジタル 教科書体 NP-R"/>
          <w:strike w:val="0"/>
          <w:dstrike w:val="0"/>
          <w:color w:val="auto"/>
          <w:sz w:val="21"/>
        </w:rPr>
      </w:pPr>
      <w:r>
        <w:rPr>
          <w:rFonts w:hint="eastAsia" w:ascii="UD デジタル 教科書体 NP-R" w:hAnsi="UD デジタル 教科書体 NP-R" w:eastAsia="UD デジタル 教科書体 NP-R"/>
          <w:strike w:val="0"/>
          <w:dstrike w:val="0"/>
          <w:color w:val="auto"/>
          <w:sz w:val="21"/>
        </w:rPr>
        <w:t>６</w:t>
      </w:r>
      <w:r>
        <w:rPr>
          <w:rFonts w:hint="eastAsia" w:ascii="UD デジタル 教科書体 NP-R" w:hAnsi="UD デジタル 教科書体 NP-R" w:eastAsia="UD デジタル 教科書体 NP-R"/>
          <w:strike w:val="0"/>
          <w:dstrike w:val="0"/>
          <w:color w:val="auto"/>
          <w:sz w:val="21"/>
        </w:rPr>
        <w:t xml:space="preserve"> </w:t>
      </w:r>
      <w:r>
        <w:rPr>
          <w:rFonts w:hint="eastAsia" w:ascii="UD デジタル 教科書体 NP-R" w:hAnsi="UD デジタル 教科書体 NP-R" w:eastAsia="UD デジタル 教科書体 NP-R"/>
          <w:color w:val="auto"/>
          <w:sz w:val="21"/>
        </w:rPr>
        <w:t>建設工事に係る競争入札における再度入札によって落札者が得られたとき、落札者は第</w:t>
      </w:r>
      <w:r>
        <w:rPr>
          <w:rFonts w:hint="eastAsia" w:ascii="UD デジタル 教科書体 NP-R" w:hAnsi="UD デジタル 教科書体 NP-R" w:eastAsia="UD デジタル 教科書体 NP-R"/>
          <w:color w:val="auto"/>
          <w:sz w:val="21"/>
        </w:rPr>
        <w:t>6</w:t>
      </w:r>
      <w:r>
        <w:rPr>
          <w:rFonts w:hint="eastAsia" w:ascii="UD デジタル 教科書体 NP-R" w:hAnsi="UD デジタル 教科書体 NP-R" w:eastAsia="UD デジタル 教科書体 NP-R"/>
          <w:color w:val="auto"/>
          <w:sz w:val="21"/>
        </w:rPr>
        <w:t>条第</w:t>
      </w:r>
      <w:r>
        <w:rPr>
          <w:rFonts w:hint="eastAsia" w:ascii="UD デジタル 教科書体 NP-R" w:hAnsi="UD デジタル 教科書体 NP-R" w:eastAsia="UD デジタル 教科書体 NP-R"/>
          <w:color w:val="auto"/>
          <w:sz w:val="21"/>
        </w:rPr>
        <w:t>4</w:t>
      </w:r>
      <w:r>
        <w:rPr>
          <w:rFonts w:hint="eastAsia" w:ascii="UD デジタル 教科書体 NP-R" w:hAnsi="UD デジタル 教科書体 NP-R" w:eastAsia="UD デジタル 教科書体 NP-R"/>
          <w:color w:val="auto"/>
          <w:sz w:val="21"/>
        </w:rPr>
        <w:t>項の規定に関わらず契約締結時に請負代金内訳書を提出しなければならない。</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（更改入札等）</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210" w:hangingChars="10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第</w:t>
      </w:r>
      <w:r>
        <w:rPr>
          <w:rFonts w:hint="eastAsia" w:ascii="UD デジタル 教科書体 NP-R" w:hAnsi="UD デジタル 教科書体 NP-R" w:eastAsia="UD デジタル 教科書体 NP-R"/>
          <w:color w:val="auto"/>
          <w:sz w:val="21"/>
        </w:rPr>
        <w:t>18</w:t>
      </w:r>
      <w:r>
        <w:rPr>
          <w:rFonts w:hint="eastAsia" w:ascii="UD デジタル 教科書体 NP-R" w:hAnsi="UD デジタル 教科書体 NP-R" w:eastAsia="UD デジタル 教科書体 NP-R"/>
          <w:color w:val="auto"/>
          <w:sz w:val="21"/>
        </w:rPr>
        <w:t>条</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入札不調（第５条第</w:t>
      </w:r>
      <w:r>
        <w:rPr>
          <w:rFonts w:hint="eastAsia" w:ascii="UD デジタル 教科書体 NP-R" w:hAnsi="UD デジタル 教科書体 NP-R" w:eastAsia="UD デジタル 教科書体 NP-R"/>
          <w:strike w:val="0"/>
          <w:dstrike w:val="0"/>
          <w:color w:val="auto"/>
          <w:sz w:val="21"/>
        </w:rPr>
        <w:t>６</w:t>
      </w:r>
      <w:r>
        <w:rPr>
          <w:rFonts w:hint="eastAsia" w:ascii="UD デジタル 教科書体 NP-R" w:hAnsi="UD デジタル 教科書体 NP-R" w:eastAsia="UD デジタル 教科書体 NP-R"/>
          <w:color w:val="auto"/>
          <w:sz w:val="21"/>
        </w:rPr>
        <w:t>項の規定により入札が行われなかった場合（以下この条において「入札不成立」という。）</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及び前条の規定によっても落札者が得られない場合をいう。）の場合は、次のとおり公告又は指名を改めて行うことによる同一工事</w:t>
      </w:r>
      <w:r>
        <w:rPr>
          <w:rFonts w:hint="eastAsia" w:ascii="UD デジタル 教科書体 NP-R" w:hAnsi="UD デジタル 教科書体 NP-R" w:eastAsia="UD デジタル 教科書体 NP-R"/>
          <w:strike w:val="0"/>
          <w:dstrike w:val="0"/>
          <w:color w:val="auto"/>
          <w:sz w:val="21"/>
        </w:rPr>
        <w:t>（業務など）</w:t>
      </w:r>
      <w:r>
        <w:rPr>
          <w:rFonts w:hint="eastAsia" w:ascii="UD デジタル 教科書体 NP-R" w:hAnsi="UD デジタル 教科書体 NP-R" w:eastAsia="UD デジタル 教科書体 NP-R"/>
          <w:color w:val="auto"/>
          <w:sz w:val="21"/>
        </w:rPr>
        <w:t>に係る入札（以下「更改入札」という。）を行う。</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（１）一般競争入札</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630" w:hangingChars="30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　　　入札参加資格要件の見直しが可能なときは、当該要件を見直したうえで改めて公告し更改入札を行う。</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（２）指名競争入札</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630" w:hangingChars="30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　　　新たに別の入札参加者を指名して更改入札を行う。ただし、第５条第</w:t>
      </w:r>
      <w:r>
        <w:rPr>
          <w:rFonts w:hint="eastAsia" w:ascii="UD デジタル 教科書体 NP-R" w:hAnsi="UD デジタル 教科書体 NP-R" w:eastAsia="UD デジタル 教科書体 NP-R"/>
          <w:strike w:val="0"/>
          <w:dstrike w:val="0"/>
          <w:color w:val="auto"/>
          <w:sz w:val="21"/>
        </w:rPr>
        <w:t>６</w:t>
      </w:r>
      <w:r>
        <w:rPr>
          <w:rFonts w:hint="eastAsia" w:ascii="UD デジタル 教科書体 NP-R" w:hAnsi="UD デジタル 教科書体 NP-R" w:eastAsia="UD デジタル 教科書体 NP-R"/>
          <w:color w:val="auto"/>
          <w:sz w:val="21"/>
        </w:rPr>
        <w:t>項第２号による入札不成立の場合には、当該入札者を再指名することを妨げない。</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210" w:hangingChars="10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２</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前項の規定により更改入札を行っても落札者が得られないとき又は更改入札を行うことが困難なときは、次の者と政令第</w:t>
      </w:r>
      <w:r>
        <w:rPr>
          <w:rFonts w:hint="eastAsia" w:ascii="UD デジタル 教科書体 NP-R" w:hAnsi="UD デジタル 教科書体 NP-R" w:eastAsia="UD デジタル 教科書体 NP-R"/>
          <w:color w:val="auto"/>
          <w:sz w:val="21"/>
        </w:rPr>
        <w:t>167</w:t>
      </w:r>
      <w:r>
        <w:rPr>
          <w:rFonts w:hint="eastAsia" w:ascii="UD デジタル 教科書体 NP-R" w:hAnsi="UD デジタル 教科書体 NP-R" w:eastAsia="UD デジタル 教科書体 NP-R"/>
          <w:color w:val="auto"/>
          <w:sz w:val="21"/>
        </w:rPr>
        <w:t>条の２第１項第８号の規定による随意契約の見積合わせを行う。</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（１）</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入札参加者が１者しかなく入札不成立であった場合は、当該入札参加者</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630" w:hangingChars="30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（２）</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入札参加者が１者もなく入札不成立であった場合は、当該入札に係る事業を遂行できると認められる者</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630" w:hangingChars="30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（３）</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入札は行われたが落札者が得られなかった場合は、当初入札及び更改入札（再度入札が行われた場合は、当該再度入札を含む。）を通じて、最低制限価格</w:t>
      </w:r>
      <w:r>
        <w:rPr>
          <w:rFonts w:hint="eastAsia" w:ascii="UD デジタル 教科書体 NP-R" w:hAnsi="UD デジタル 教科書体 NP-R" w:eastAsia="UD デジタル 教科書体 NP-R"/>
          <w:strike w:val="0"/>
          <w:dstrike w:val="0"/>
          <w:color w:val="auto"/>
          <w:sz w:val="21"/>
        </w:rPr>
        <w:t>又は失格基準価格</w:t>
      </w:r>
      <w:r>
        <w:rPr>
          <w:rFonts w:hint="eastAsia" w:ascii="UD デジタル 教科書体 NP-R" w:hAnsi="UD デジタル 教科書体 NP-R" w:eastAsia="UD デジタル 教科書体 NP-R"/>
          <w:color w:val="auto"/>
          <w:sz w:val="21"/>
        </w:rPr>
        <w:t>を下回り失格となった者を除き最低価格（</w:t>
      </w:r>
      <w:r>
        <w:rPr>
          <w:rFonts w:hint="eastAsia" w:ascii="UD デジタル 教科書体 NP-R" w:hAnsi="UD デジタル 教科書体 NP-R" w:eastAsia="UD デジタル 教科書体 NP-R"/>
          <w:strike w:val="0"/>
          <w:dstrike w:val="0"/>
          <w:color w:val="auto"/>
          <w:sz w:val="21"/>
        </w:rPr>
        <w:t>総合評価方式</w:t>
      </w:r>
      <w:r>
        <w:rPr>
          <w:rFonts w:hint="eastAsia" w:ascii="UD デジタル 教科書体 NP-R" w:hAnsi="UD デジタル 教科書体 NP-R" w:eastAsia="UD デジタル 教科書体 NP-R"/>
          <w:color w:val="auto"/>
          <w:sz w:val="21"/>
        </w:rPr>
        <w:t>においては最高の評価値）の入札者</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210" w:hangingChars="10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３</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前項の随意契約における予定価格調書は、その入札不調となった入札の予定価格調書によらなければならない。</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（契約書の提出等）</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210" w:hangingChars="10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第</w:t>
      </w:r>
      <w:r>
        <w:rPr>
          <w:rFonts w:hint="eastAsia" w:ascii="UD デジタル 教科書体 NP-R" w:hAnsi="UD デジタル 教科書体 NP-R" w:eastAsia="UD デジタル 教科書体 NP-R"/>
          <w:color w:val="auto"/>
          <w:sz w:val="21"/>
        </w:rPr>
        <w:t>19</w:t>
      </w:r>
      <w:r>
        <w:rPr>
          <w:rFonts w:hint="eastAsia" w:ascii="UD デジタル 教科書体 NP-R" w:hAnsi="UD デジタル 教科書体 NP-R" w:eastAsia="UD デジタル 教科書体 NP-R"/>
          <w:color w:val="auto"/>
          <w:sz w:val="21"/>
        </w:rPr>
        <w:t>条</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落札者は、落札決定の日から閉庁日を含む</w:t>
      </w:r>
      <w:r>
        <w:rPr>
          <w:rFonts w:hint="eastAsia" w:ascii="UD デジタル 教科書体 NP-R" w:hAnsi="UD デジタル 教科書体 NP-R" w:eastAsia="UD デジタル 教科書体 NP-R"/>
          <w:color w:val="auto"/>
          <w:sz w:val="21"/>
        </w:rPr>
        <w:t>14</w:t>
      </w:r>
      <w:r>
        <w:rPr>
          <w:rFonts w:hint="eastAsia" w:ascii="UD デジタル 教科書体 NP-R" w:hAnsi="UD デジタル 教科書体 NP-R" w:eastAsia="UD デジタル 教科書体 NP-R"/>
          <w:color w:val="auto"/>
          <w:sz w:val="21"/>
        </w:rPr>
        <w:t>日以内に交付された契約書の案に記名押印し、契約担当機関に提出しなければならない。ただし、契約担当者が別途その期日について定めた場合はこの限りではない。</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210" w:hangingChars="10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２</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落札者が前項に規定する期間内に契約書の案を提出しないときは、</w:t>
      </w:r>
      <w:r>
        <w:rPr>
          <w:rFonts w:hint="eastAsia" w:ascii="UD デジタル 教科書体 NP-R" w:hAnsi="UD デジタル 教科書体 NP-R" w:eastAsia="UD デジタル 教科書体 NP-R"/>
          <w:strike w:val="0"/>
          <w:dstrike w:val="0"/>
          <w:color w:val="auto"/>
          <w:sz w:val="21"/>
        </w:rPr>
        <w:t>契約を辞退したものとして、</w:t>
      </w:r>
      <w:r>
        <w:rPr>
          <w:rFonts w:hint="eastAsia" w:ascii="UD デジタル 教科書体 NP-R" w:hAnsi="UD デジタル 教科書体 NP-R" w:eastAsia="UD デジタル 教科書体 NP-R"/>
          <w:color w:val="auto"/>
          <w:sz w:val="21"/>
        </w:rPr>
        <w:t>政令第</w:t>
      </w:r>
      <w:r>
        <w:rPr>
          <w:rFonts w:hint="eastAsia" w:ascii="UD デジタル 教科書体 NP-R" w:hAnsi="UD デジタル 教科書体 NP-R" w:eastAsia="UD デジタル 教科書体 NP-R"/>
          <w:color w:val="auto"/>
          <w:sz w:val="21"/>
        </w:rPr>
        <w:t>167</w:t>
      </w:r>
      <w:r>
        <w:rPr>
          <w:rFonts w:hint="eastAsia" w:ascii="UD デジタル 教科書体 NP-R" w:hAnsi="UD デジタル 教科書体 NP-R" w:eastAsia="UD デジタル 教科書体 NP-R"/>
          <w:color w:val="auto"/>
          <w:sz w:val="21"/>
        </w:rPr>
        <w:t>条の２第１項第９号の規定により随意契約の見積合わせを行うことができる。ただし、その随意契約により決定した相手方が前項に規定する契約書を提出しないときは、随意契約により新たな契約の相手方を決定することはできない。</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210" w:hangingChars="10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３</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前項の随意契約の見積合わせは、第</w:t>
      </w:r>
      <w:r>
        <w:rPr>
          <w:rFonts w:hint="eastAsia" w:ascii="UD デジタル 教科書体 NP-R" w:hAnsi="UD デジタル 教科書体 NP-R" w:eastAsia="UD デジタル 教科書体 NP-R"/>
          <w:color w:val="auto"/>
          <w:sz w:val="21"/>
        </w:rPr>
        <w:t>11</w:t>
      </w:r>
      <w:r>
        <w:rPr>
          <w:rFonts w:hint="eastAsia" w:ascii="UD デジタル 教科書体 NP-R" w:hAnsi="UD デジタル 教科書体 NP-R" w:eastAsia="UD デジタル 教科書体 NP-R"/>
          <w:color w:val="auto"/>
          <w:sz w:val="21"/>
        </w:rPr>
        <w:t>条から第</w:t>
      </w:r>
      <w:r>
        <w:rPr>
          <w:rFonts w:hint="eastAsia" w:ascii="UD デジタル 教科書体 NP-R" w:hAnsi="UD デジタル 教科書体 NP-R" w:eastAsia="UD デジタル 教科書体 NP-R"/>
          <w:color w:val="auto"/>
          <w:sz w:val="21"/>
        </w:rPr>
        <w:t>13</w:t>
      </w:r>
      <w:r>
        <w:rPr>
          <w:rFonts w:hint="eastAsia" w:ascii="UD デジタル 教科書体 NP-R" w:hAnsi="UD デジタル 教科書体 NP-R" w:eastAsia="UD デジタル 教科書体 NP-R"/>
          <w:color w:val="auto"/>
          <w:sz w:val="21"/>
        </w:rPr>
        <w:t>条までの規定により、落札辞退者に次いで落札者となるべき者を相手方として行う。</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210" w:hangingChars="10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４</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落札者と契約を締結することが公正な取引の秩序を乱すおそれがあって著しく不適当と認められるときは、当該落札決定を取り消す。この場合には、新たな競争入札の執行により落札者を決定する。</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210" w:hangingChars="10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strike w:val="0"/>
          <w:dstrike w:val="0"/>
          <w:color w:val="auto"/>
          <w:sz w:val="21"/>
        </w:rPr>
        <w:t>５</w:t>
      </w:r>
      <w:r>
        <w:rPr>
          <w:rFonts w:hint="eastAsia" w:ascii="UD デジタル 教科書体 NP-R" w:hAnsi="UD デジタル 教科書体 NP-R" w:eastAsia="UD デジタル 教科書体 NP-R"/>
          <w:strike w:val="0"/>
          <w:dstrike w:val="0"/>
          <w:color w:val="auto"/>
          <w:sz w:val="21"/>
        </w:rPr>
        <w:t xml:space="preserve"> </w:t>
      </w:r>
      <w:r>
        <w:rPr>
          <w:rFonts w:hint="eastAsia" w:ascii="UD デジタル 教科書体 NP-R" w:hAnsi="UD デジタル 教科書体 NP-R" w:eastAsia="UD デジタル 教科書体 NP-R"/>
          <w:strike w:val="0"/>
          <w:dstrike w:val="0"/>
          <w:color w:val="auto"/>
          <w:sz w:val="21"/>
        </w:rPr>
        <w:t>前３項の規定のほか、落札者が契約を辞退する場合又は契約担当機関が落札決定を取り消す場合の取扱いについては、高知県が施行する「建設工事競争入札事務の手引」において定める「契約辞退・落札決定取消の取扱いについて」を準用する。</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（現場代理人・技術者届等）</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210" w:hangingChars="10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第</w:t>
      </w:r>
      <w:r>
        <w:rPr>
          <w:rFonts w:hint="eastAsia" w:ascii="UD デジタル 教科書体 NP-R" w:hAnsi="UD デジタル 教科書体 NP-R" w:eastAsia="UD デジタル 教科書体 NP-R"/>
          <w:color w:val="auto"/>
          <w:sz w:val="21"/>
        </w:rPr>
        <w:t>20</w:t>
      </w:r>
      <w:r>
        <w:rPr>
          <w:rFonts w:hint="eastAsia" w:ascii="UD デジタル 教科書体 NP-R" w:hAnsi="UD デジタル 教科書体 NP-R" w:eastAsia="UD デジタル 教科書体 NP-R"/>
          <w:color w:val="auto"/>
          <w:sz w:val="21"/>
        </w:rPr>
        <w:t>条</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建設工事に係る競争入札において、落札者は、契約の締結に際し、別に定める現場代理人・技術者届を提出しなければならない。</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210" w:hangingChars="100"/>
        <w:textAlignment w:val="auto"/>
        <w:outlineLvl w:val="9"/>
        <w:rPr>
          <w:rFonts w:hint="eastAsia" w:ascii="UD デジタル 教科書体 NP-R" w:hAnsi="UD デジタル 教科書体 NP-R" w:eastAsia="UD デジタル 教科書体 NP-R"/>
          <w:strike w:val="1"/>
          <w:dstrike w:val="0"/>
          <w:color w:val="auto"/>
          <w:sz w:val="21"/>
        </w:rPr>
      </w:pPr>
      <w:r>
        <w:rPr>
          <w:rFonts w:hint="eastAsia" w:ascii="UD デジタル 教科書体 NP-R" w:hAnsi="UD デジタル 教科書体 NP-R" w:eastAsia="UD デジタル 教科書体 NP-R"/>
          <w:color w:val="auto"/>
          <w:sz w:val="21"/>
        </w:rPr>
        <w:t>２</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現場代理人の常駐及び技術者の専任配置等に関して、契約内容や建設業法（昭和</w:t>
      </w:r>
      <w:r>
        <w:rPr>
          <w:rFonts w:hint="eastAsia" w:ascii="UD デジタル 教科書体 NP-R" w:hAnsi="UD デジタル 教科書体 NP-R" w:eastAsia="UD デジタル 教科書体 NP-R"/>
          <w:color w:val="auto"/>
          <w:sz w:val="21"/>
        </w:rPr>
        <w:t>24</w:t>
      </w:r>
      <w:r>
        <w:rPr>
          <w:rFonts w:hint="eastAsia" w:ascii="UD デジタル 教科書体 NP-R" w:hAnsi="UD デジタル 教科書体 NP-R" w:eastAsia="UD デジタル 教科書体 NP-R"/>
          <w:color w:val="auto"/>
          <w:sz w:val="21"/>
        </w:rPr>
        <w:t>年法律第</w:t>
      </w:r>
      <w:r>
        <w:rPr>
          <w:rFonts w:hint="eastAsia" w:ascii="UD デジタル 教科書体 NP-R" w:hAnsi="UD デジタル 教科書体 NP-R" w:eastAsia="UD デジタル 教科書体 NP-R"/>
          <w:color w:val="auto"/>
          <w:sz w:val="21"/>
        </w:rPr>
        <w:t>100</w:t>
      </w:r>
      <w:r>
        <w:rPr>
          <w:rFonts w:hint="eastAsia" w:ascii="UD デジタル 教科書体 NP-R" w:hAnsi="UD デジタル 教科書体 NP-R" w:eastAsia="UD デジタル 教科書体 NP-R"/>
          <w:color w:val="auto"/>
          <w:sz w:val="21"/>
        </w:rPr>
        <w:t>号）に違反すると認められるときは、落札決定を取り消す。</w:t>
      </w:r>
      <w:r>
        <w:rPr>
          <w:rFonts w:hint="eastAsia" w:ascii="UD デジタル 教科書体 NP-R" w:hAnsi="UD デジタル 教科書体 NP-R" w:eastAsia="UD デジタル 教科書体 NP-R"/>
          <w:strike w:val="0"/>
          <w:dstrike w:val="0"/>
          <w:color w:val="auto"/>
          <w:sz w:val="21"/>
        </w:rPr>
        <w:t>一般競争入札及び総合評価においては、前項の届出でその入札の参加申請時に届け出た配置予定技術者を理由なく変更したときも同様とする。</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210" w:hangingChars="10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３</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前項において落札決定を取り消す場合の取扱いについては、前条第４項</w:t>
      </w:r>
      <w:r>
        <w:rPr>
          <w:rFonts w:hint="eastAsia" w:ascii="UD デジタル 教科書体 NP-R" w:hAnsi="UD デジタル 教科書体 NP-R" w:eastAsia="UD デジタル 教科書体 NP-R"/>
          <w:strike w:val="0"/>
          <w:dstrike w:val="0"/>
          <w:color w:val="auto"/>
          <w:sz w:val="21"/>
        </w:rPr>
        <w:t>及び第５項</w:t>
      </w:r>
      <w:r>
        <w:rPr>
          <w:rFonts w:hint="eastAsia" w:ascii="UD デジタル 教科書体 NP-R" w:hAnsi="UD デジタル 教科書体 NP-R" w:eastAsia="UD デジタル 教科書体 NP-R"/>
          <w:color w:val="auto"/>
          <w:sz w:val="21"/>
        </w:rPr>
        <w:t>の規定を準用する。</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４</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前３項の規定は、委託業務において技術者の届出が必要な場合に準用する。</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（契約の保証金）</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210" w:hangingChars="10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第</w:t>
      </w:r>
      <w:r>
        <w:rPr>
          <w:rFonts w:hint="eastAsia" w:ascii="UD デジタル 教科書体 NP-R" w:hAnsi="UD デジタル 教科書体 NP-R" w:eastAsia="UD デジタル 教科書体 NP-R"/>
          <w:color w:val="auto"/>
          <w:sz w:val="21"/>
        </w:rPr>
        <w:t>21</w:t>
      </w:r>
      <w:r>
        <w:rPr>
          <w:rFonts w:hint="eastAsia" w:ascii="UD デジタル 教科書体 NP-R" w:hAnsi="UD デジタル 教科書体 NP-R" w:eastAsia="UD デジタル 教科書体 NP-R"/>
          <w:color w:val="auto"/>
          <w:sz w:val="21"/>
        </w:rPr>
        <w:t>条</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落札者は、契約の締結に際し、規則第</w:t>
      </w:r>
      <w:r>
        <w:rPr>
          <w:rFonts w:hint="eastAsia" w:ascii="UD デジタル 教科書体 NP-R" w:hAnsi="UD デジタル 教科書体 NP-R" w:eastAsia="UD デジタル 教科書体 NP-R"/>
          <w:strike w:val="0"/>
          <w:dstrike w:val="0"/>
          <w:color w:val="auto"/>
          <w:sz w:val="21"/>
        </w:rPr>
        <w:t>98</w:t>
      </w:r>
      <w:r>
        <w:rPr>
          <w:rFonts w:hint="eastAsia" w:ascii="UD デジタル 教科書体 NP-R" w:hAnsi="UD デジタル 教科書体 NP-R" w:eastAsia="UD デジタル 教科書体 NP-R"/>
          <w:color w:val="auto"/>
          <w:sz w:val="21"/>
        </w:rPr>
        <w:t>条第</w:t>
      </w:r>
      <w:r>
        <w:rPr>
          <w:rFonts w:hint="eastAsia" w:ascii="UD デジタル 教科書体 NP-R" w:hAnsi="UD デジタル 教科書体 NP-R" w:eastAsia="UD デジタル 教科書体 NP-R"/>
          <w:color w:val="auto"/>
          <w:sz w:val="21"/>
        </w:rPr>
        <w:t>1</w:t>
      </w:r>
      <w:r>
        <w:rPr>
          <w:rFonts w:hint="eastAsia" w:ascii="UD デジタル 教科書体 NP-R" w:hAnsi="UD デジタル 教科書体 NP-R" w:eastAsia="UD デジタル 教科書体 NP-R"/>
          <w:color w:val="auto"/>
          <w:sz w:val="21"/>
        </w:rPr>
        <w:t>項の契約の保証金を落札決定後速やかに納付しなければならない。ただし、規則第</w:t>
      </w:r>
      <w:r>
        <w:rPr>
          <w:rFonts w:hint="eastAsia" w:ascii="UD デジタル 教科書体 NP-R" w:hAnsi="UD デジタル 教科書体 NP-R" w:eastAsia="UD デジタル 教科書体 NP-R"/>
          <w:strike w:val="0"/>
          <w:dstrike w:val="0"/>
          <w:color w:val="auto"/>
          <w:sz w:val="21"/>
        </w:rPr>
        <w:t>98</w:t>
      </w:r>
      <w:r>
        <w:rPr>
          <w:rFonts w:hint="eastAsia" w:ascii="UD デジタル 教科書体 NP-R" w:hAnsi="UD デジタル 教科書体 NP-R" w:eastAsia="UD デジタル 教科書体 NP-R"/>
          <w:color w:val="auto"/>
          <w:sz w:val="21"/>
        </w:rPr>
        <w:t>条第</w:t>
      </w:r>
      <w:r>
        <w:rPr>
          <w:rFonts w:hint="eastAsia" w:ascii="UD デジタル 教科書体 NP-R" w:hAnsi="UD デジタル 教科書体 NP-R" w:eastAsia="UD デジタル 教科書体 NP-R"/>
          <w:color w:val="auto"/>
          <w:sz w:val="21"/>
        </w:rPr>
        <w:t>1</w:t>
      </w:r>
      <w:r>
        <w:rPr>
          <w:rFonts w:hint="eastAsia" w:ascii="UD デジタル 教科書体 NP-R" w:hAnsi="UD デジタル 教科書体 NP-R" w:eastAsia="UD デジタル 教科書体 NP-R"/>
          <w:color w:val="auto"/>
          <w:sz w:val="21"/>
        </w:rPr>
        <w:t>項第</w:t>
      </w:r>
      <w:r>
        <w:rPr>
          <w:rFonts w:hint="eastAsia" w:ascii="UD デジタル 教科書体 NP-R" w:hAnsi="UD デジタル 教科書体 NP-R" w:eastAsia="UD デジタル 教科書体 NP-R"/>
          <w:color w:val="auto"/>
          <w:sz w:val="21"/>
        </w:rPr>
        <w:t>1</w:t>
      </w:r>
      <w:r>
        <w:rPr>
          <w:rFonts w:hint="eastAsia" w:ascii="UD デジタル 教科書体 NP-R" w:hAnsi="UD デジタル 教科書体 NP-R" w:eastAsia="UD デジタル 教科書体 NP-R"/>
          <w:color w:val="auto"/>
          <w:sz w:val="21"/>
        </w:rPr>
        <w:t>号から第</w:t>
      </w:r>
      <w:r>
        <w:rPr>
          <w:rFonts w:hint="eastAsia" w:ascii="UD デジタル 教科書体 NP-R" w:hAnsi="UD デジタル 教科書体 NP-R" w:eastAsia="UD デジタル 教科書体 NP-R"/>
          <w:color w:val="auto"/>
          <w:sz w:val="21"/>
        </w:rPr>
        <w:t>7</w:t>
      </w:r>
      <w:r>
        <w:rPr>
          <w:rFonts w:hint="eastAsia" w:ascii="UD デジタル 教科書体 NP-R" w:hAnsi="UD デジタル 教科書体 NP-R" w:eastAsia="UD デジタル 教科書体 NP-R"/>
          <w:color w:val="auto"/>
          <w:sz w:val="21"/>
        </w:rPr>
        <w:t>号の規定により免除された場合又は規則第</w:t>
      </w:r>
      <w:r>
        <w:rPr>
          <w:rFonts w:hint="eastAsia" w:ascii="UD デジタル 教科書体 NP-R" w:hAnsi="UD デジタル 教科書体 NP-R" w:eastAsia="UD デジタル 教科書体 NP-R"/>
          <w:strike w:val="0"/>
          <w:dstrike w:val="0"/>
          <w:color w:val="auto"/>
          <w:sz w:val="21"/>
        </w:rPr>
        <w:t>98</w:t>
      </w:r>
      <w:r>
        <w:rPr>
          <w:rFonts w:hint="eastAsia" w:ascii="UD デジタル 教科書体 NP-R" w:hAnsi="UD デジタル 教科書体 NP-R" w:eastAsia="UD デジタル 教科書体 NP-R"/>
          <w:color w:val="auto"/>
          <w:sz w:val="21"/>
        </w:rPr>
        <w:t>条第</w:t>
      </w:r>
      <w:r>
        <w:rPr>
          <w:rFonts w:hint="eastAsia" w:ascii="UD デジタル 教科書体 NP-R" w:hAnsi="UD デジタル 教科書体 NP-R" w:eastAsia="UD デジタル 教科書体 NP-R"/>
          <w:strike w:val="0"/>
          <w:dstrike w:val="0"/>
          <w:color w:val="auto"/>
          <w:sz w:val="21"/>
        </w:rPr>
        <w:t>2</w:t>
      </w:r>
      <w:r>
        <w:rPr>
          <w:rFonts w:hint="eastAsia" w:ascii="UD デジタル 教科書体 NP-R" w:hAnsi="UD デジタル 教科書体 NP-R" w:eastAsia="UD デジタル 教科書体 NP-R"/>
          <w:color w:val="auto"/>
          <w:sz w:val="21"/>
        </w:rPr>
        <w:t>項第</w:t>
      </w:r>
      <w:r>
        <w:rPr>
          <w:rFonts w:hint="eastAsia" w:ascii="UD デジタル 教科書体 NP-R" w:hAnsi="UD デジタル 教科書体 NP-R" w:eastAsia="UD デジタル 教科書体 NP-R"/>
          <w:color w:val="auto"/>
          <w:sz w:val="21"/>
        </w:rPr>
        <w:t>1</w:t>
      </w:r>
      <w:r>
        <w:rPr>
          <w:rFonts w:hint="eastAsia" w:ascii="UD デジタル 教科書体 NP-R" w:hAnsi="UD デジタル 教科書体 NP-R" w:eastAsia="UD デジタル 教科書体 NP-R"/>
          <w:color w:val="auto"/>
          <w:sz w:val="21"/>
        </w:rPr>
        <w:t>号及び第</w:t>
      </w:r>
      <w:r>
        <w:rPr>
          <w:rFonts w:hint="eastAsia" w:ascii="UD デジタル 教科書体 NP-R" w:hAnsi="UD デジタル 教科書体 NP-R" w:eastAsia="UD デジタル 教科書体 NP-R"/>
          <w:color w:val="auto"/>
          <w:sz w:val="21"/>
        </w:rPr>
        <w:t>2</w:t>
      </w:r>
      <w:r>
        <w:rPr>
          <w:rFonts w:hint="eastAsia" w:ascii="UD デジタル 教科書体 NP-R" w:hAnsi="UD デジタル 教科書体 NP-R" w:eastAsia="UD デジタル 教科書体 NP-R"/>
          <w:color w:val="auto"/>
          <w:sz w:val="21"/>
        </w:rPr>
        <w:t>号の規定による契約保証金に代わる担保を提供した場合は、この限りではない。</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210" w:hangingChars="10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２</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落札者は、契約の保証金の免除又は契約の保証金に代わる担保の提供の承認を受けるときには、落札決定後速やかに契約担当者が指示する書類等を提出しなければならない。</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（議会議決案件の契約の確定）</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210" w:hangingChars="10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第</w:t>
      </w:r>
      <w:r>
        <w:rPr>
          <w:rFonts w:hint="eastAsia" w:ascii="UD デジタル 教科書体 NP-R" w:hAnsi="UD デジタル 教科書体 NP-R" w:eastAsia="UD デジタル 教科書体 NP-R"/>
          <w:color w:val="auto"/>
          <w:sz w:val="21"/>
        </w:rPr>
        <w:t>22</w:t>
      </w:r>
      <w:r>
        <w:rPr>
          <w:rFonts w:hint="eastAsia" w:ascii="UD デジタル 教科書体 NP-R" w:hAnsi="UD デジタル 教科書体 NP-R" w:eastAsia="UD デジタル 教科書体 NP-R"/>
          <w:color w:val="auto"/>
          <w:sz w:val="21"/>
        </w:rPr>
        <w:t>条</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strike w:val="0"/>
          <w:dstrike w:val="0"/>
          <w:color w:val="auto"/>
          <w:sz w:val="21"/>
        </w:rPr>
        <w:t>津野町</w:t>
      </w:r>
      <w:r>
        <w:rPr>
          <w:rFonts w:hint="eastAsia" w:ascii="UD デジタル 教科書体 NP-R" w:hAnsi="UD デジタル 教科書体 NP-R" w:eastAsia="UD デジタル 教科書体 NP-R"/>
          <w:color w:val="auto"/>
          <w:sz w:val="21"/>
        </w:rPr>
        <w:t>議会の議決が必要な契約においては落札者といったん附帯条件付の仮契約を締結し、</w:t>
      </w:r>
      <w:r>
        <w:rPr>
          <w:rFonts w:hint="eastAsia" w:ascii="UD デジタル 教科書体 NP-R" w:hAnsi="UD デジタル 教科書体 NP-R" w:eastAsia="UD デジタル 教科書体 NP-R"/>
          <w:strike w:val="0"/>
          <w:dstrike w:val="0"/>
          <w:color w:val="auto"/>
          <w:sz w:val="21"/>
        </w:rPr>
        <w:t>議会の議決に付すべき契約及び財産の取得又は処分に関する条例（平成</w:t>
      </w:r>
      <w:r>
        <w:rPr>
          <w:rFonts w:hint="eastAsia" w:ascii="UD デジタル 教科書体 NP-R" w:hAnsi="UD デジタル 教科書体 NP-R" w:eastAsia="UD デジタル 教科書体 NP-R"/>
          <w:strike w:val="0"/>
          <w:dstrike w:val="0"/>
          <w:color w:val="auto"/>
          <w:sz w:val="21"/>
        </w:rPr>
        <w:t>17</w:t>
      </w:r>
      <w:r>
        <w:rPr>
          <w:rFonts w:hint="eastAsia" w:ascii="UD デジタル 教科書体 NP-R" w:hAnsi="UD デジタル 教科書体 NP-R" w:eastAsia="UD デジタル 教科書体 NP-R"/>
          <w:strike w:val="0"/>
          <w:dstrike w:val="0"/>
          <w:color w:val="auto"/>
          <w:sz w:val="21"/>
        </w:rPr>
        <w:t>年条例第</w:t>
      </w:r>
      <w:r>
        <w:rPr>
          <w:rFonts w:hint="eastAsia" w:ascii="UD デジタル 教科書体 NP-R" w:hAnsi="UD デジタル 教科書体 NP-R" w:eastAsia="UD デジタル 教科書体 NP-R"/>
          <w:strike w:val="0"/>
          <w:dstrike w:val="0"/>
          <w:color w:val="auto"/>
          <w:sz w:val="21"/>
        </w:rPr>
        <w:t>61</w:t>
      </w:r>
      <w:r>
        <w:rPr>
          <w:rFonts w:hint="eastAsia" w:ascii="UD デジタル 教科書体 NP-R" w:hAnsi="UD デジタル 教科書体 NP-R" w:eastAsia="UD デジタル 教科書体 NP-R"/>
          <w:strike w:val="0"/>
          <w:dstrike w:val="0"/>
          <w:color w:val="auto"/>
          <w:sz w:val="21"/>
        </w:rPr>
        <w:t>号）の規定により、津野町議会の議決を経た後に、町長が</w:t>
      </w:r>
      <w:r>
        <w:rPr>
          <w:rFonts w:hint="eastAsia" w:ascii="UD デジタル 教科書体 NP-R" w:hAnsi="UD デジタル 教科書体 NP-R" w:eastAsia="UD デジタル 教科書体 NP-R"/>
          <w:color w:val="auto"/>
          <w:sz w:val="21"/>
        </w:rPr>
        <w:t>効力発生通知を行うことにより、本契約として確定する。</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（異議の申立て）</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hanging="210" w:hangingChars="10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第</w:t>
      </w:r>
      <w:r>
        <w:rPr>
          <w:rFonts w:hint="eastAsia" w:ascii="UD デジタル 教科書体 NP-R" w:hAnsi="UD デジタル 教科書体 NP-R" w:eastAsia="UD デジタル 教科書体 NP-R"/>
          <w:color w:val="auto"/>
          <w:sz w:val="21"/>
        </w:rPr>
        <w:t>23</w:t>
      </w:r>
      <w:r>
        <w:rPr>
          <w:rFonts w:hint="eastAsia" w:ascii="UD デジタル 教科書体 NP-R" w:hAnsi="UD デジタル 教科書体 NP-R" w:eastAsia="UD デジタル 教科書体 NP-R"/>
          <w:color w:val="auto"/>
          <w:sz w:val="21"/>
        </w:rPr>
        <w:t>条</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入札者は、入札後にこの心得、仕様書、設計書、図面その他入札毎にあらかじめ示した契約条件等についての不明を理由として、異議を申し立てることはできない。</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（入札記録）</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第</w:t>
      </w:r>
      <w:r>
        <w:rPr>
          <w:rFonts w:hint="eastAsia" w:ascii="UD デジタル 教科書体 NP-R" w:hAnsi="UD デジタル 教科書体 NP-R" w:eastAsia="UD デジタル 教科書体 NP-R"/>
          <w:color w:val="auto"/>
          <w:sz w:val="21"/>
        </w:rPr>
        <w:t>24</w:t>
      </w:r>
      <w:r>
        <w:rPr>
          <w:rFonts w:hint="eastAsia" w:ascii="UD デジタル 教科書体 NP-R" w:hAnsi="UD デジタル 教科書体 NP-R" w:eastAsia="UD デジタル 教科書体 NP-R"/>
          <w:color w:val="auto"/>
          <w:sz w:val="21"/>
        </w:rPr>
        <w:t>条</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入札結果は、</w:t>
      </w:r>
      <w:r>
        <w:rPr>
          <w:rFonts w:hint="eastAsia" w:ascii="UD デジタル 教科書体 NP-R" w:hAnsi="UD デジタル 教科書体 NP-R" w:eastAsia="UD デジタル 教科書体 NP-R"/>
          <w:strike w:val="0"/>
          <w:dstrike w:val="0"/>
          <w:color w:val="auto"/>
          <w:sz w:val="21"/>
        </w:rPr>
        <w:t>必要事項を記載した</w:t>
      </w:r>
      <w:r>
        <w:rPr>
          <w:rFonts w:hint="eastAsia" w:ascii="UD デジタル 教科書体 NP-R" w:hAnsi="UD デジタル 教科書体 NP-R" w:eastAsia="UD デジタル 教科書体 NP-R"/>
          <w:color w:val="auto"/>
          <w:sz w:val="21"/>
        </w:rPr>
        <w:t>入札記録にとりまとめて公表する。</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（その他）</w:t>
      </w:r>
    </w:p>
    <w:p>
      <w:pPr>
        <w:pStyle w:val="0"/>
        <w:keepNext w:val="0"/>
        <w:keepLines w:val="0"/>
        <w:pageBreakBefore w:val="0"/>
        <w:widowControl w:val="0"/>
        <w:numPr>
          <w:ilvl w:val="0"/>
          <w:numId w:val="2"/>
        </w:numPr>
        <w:kinsoku w:val="1"/>
        <w:wordWrap w:val="1"/>
        <w:overflowPunct w:val="1"/>
        <w:topLinePunct w:val="0"/>
        <w:autoSpaceDE w:val="1"/>
        <w:autoSpaceDN w:val="1"/>
        <w:adjustRightInd w:val="1"/>
        <w:snapToGrid w:val="1"/>
        <w:spacing w:line="440" w:lineRule="exact"/>
        <w:ind w:left="0" w:leftChars="0" w:right="0" w:rightChars="0" w:hanging="210" w:hangingChars="10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落札者は、落札決定後速やかに課税事業者届出書又は免税事業者届出書を作成し、提出しなければならない。ただし、落札者の事務負担軽減のため、課税事業者届出書の提出は不要とし、免税事業者届出書（第</w:t>
      </w:r>
      <w:r>
        <w:rPr>
          <w:rFonts w:hint="eastAsia" w:ascii="UD デジタル 教科書体 NP-R" w:hAnsi="UD デジタル 教科書体 NP-R" w:eastAsia="UD デジタル 教科書体 NP-R"/>
          <w:color w:val="auto"/>
          <w:sz w:val="21"/>
        </w:rPr>
        <w:t>5</w:t>
      </w:r>
      <w:r>
        <w:rPr>
          <w:rFonts w:hint="eastAsia" w:ascii="UD デジタル 教科書体 NP-R" w:hAnsi="UD デジタル 教科書体 NP-R" w:eastAsia="UD デジタル 教科書体 NP-R"/>
          <w:color w:val="auto"/>
          <w:sz w:val="21"/>
        </w:rPr>
        <w:t>号様式）の提出がない場合、課税事業者として手続きする。</w:t>
      </w:r>
    </w:p>
    <w:p>
      <w:pPr>
        <w:pStyle w:val="0"/>
        <w:keepNext w:val="0"/>
        <w:keepLines w:val="0"/>
        <w:pageBreakBefore w:val="0"/>
        <w:widowControl w:val="0"/>
        <w:numPr>
          <w:ilvl w:val="0"/>
          <w:numId w:val="0"/>
        </w:numPr>
        <w:kinsoku w:val="1"/>
        <w:wordWrap w:val="1"/>
        <w:overflowPunct w:val="1"/>
        <w:topLinePunct w:val="0"/>
        <w:autoSpaceDE w:val="1"/>
        <w:autoSpaceDN w:val="1"/>
        <w:adjustRightInd w:val="1"/>
        <w:snapToGrid w:val="1"/>
        <w:spacing w:line="440" w:lineRule="exact"/>
        <w:ind w:leftChars="0" w:right="0" w:rightChars="0"/>
        <w:textAlignment w:val="auto"/>
        <w:outlineLvl w:val="9"/>
        <w:rPr>
          <w:rFonts w:hint="eastAsia" w:ascii="UD デジタル 教科書体 NP-R" w:hAnsi="UD デジタル 教科書体 NP-R" w:eastAsia="UD デジタル 教科書体 NP-R"/>
          <w:color w:val="auto"/>
          <w:sz w:val="21"/>
        </w:rPr>
      </w:pP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附</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則</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（施行期日等）</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１</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この心得は、令和</w:t>
      </w:r>
      <w:r>
        <w:rPr>
          <w:rFonts w:hint="eastAsia" w:ascii="UD デジタル 教科書体 NP-R" w:hAnsi="UD デジタル 教科書体 NP-R" w:eastAsia="UD デジタル 教科書体 NP-R"/>
          <w:color w:val="auto"/>
          <w:sz w:val="21"/>
        </w:rPr>
        <w:t>4</w:t>
      </w:r>
      <w:r>
        <w:rPr>
          <w:rFonts w:hint="eastAsia" w:ascii="UD デジタル 教科書体 NP-R" w:hAnsi="UD デジタル 教科書体 NP-R" w:eastAsia="UD デジタル 教科書体 NP-R"/>
          <w:color w:val="auto"/>
          <w:sz w:val="21"/>
        </w:rPr>
        <w:t>年</w:t>
      </w:r>
      <w:r>
        <w:rPr>
          <w:rFonts w:hint="eastAsia" w:ascii="UD デジタル 教科書体 NP-R" w:hAnsi="UD デジタル 教科書体 NP-R" w:eastAsia="UD デジタル 教科書体 NP-R"/>
          <w:color w:val="auto"/>
          <w:sz w:val="21"/>
        </w:rPr>
        <w:t>4</w:t>
      </w:r>
      <w:r>
        <w:rPr>
          <w:rFonts w:hint="eastAsia" w:ascii="UD デジタル 教科書体 NP-R" w:hAnsi="UD デジタル 教科書体 NP-R" w:eastAsia="UD デジタル 教科書体 NP-R"/>
          <w:color w:val="auto"/>
          <w:sz w:val="21"/>
        </w:rPr>
        <w:t>月</w:t>
      </w:r>
      <w:r>
        <w:rPr>
          <w:rFonts w:hint="eastAsia" w:ascii="UD デジタル 教科書体 NP-R" w:hAnsi="UD デジタル 教科書体 NP-R" w:eastAsia="UD デジタル 教科書体 NP-R"/>
          <w:color w:val="auto"/>
          <w:sz w:val="21"/>
        </w:rPr>
        <w:t>1</w:t>
      </w:r>
      <w:r>
        <w:rPr>
          <w:rFonts w:hint="eastAsia" w:ascii="UD デジタル 教科書体 NP-R" w:hAnsi="UD デジタル 教科書体 NP-R" w:eastAsia="UD デジタル 教科書体 NP-R"/>
          <w:color w:val="auto"/>
          <w:sz w:val="21"/>
        </w:rPr>
        <w:t>日から施行する。</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（他の心得の廃止）</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２</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「指名競争入札参加者の入札心得」（平成</w:t>
      </w:r>
      <w:r>
        <w:rPr>
          <w:rFonts w:hint="eastAsia" w:ascii="UD デジタル 教科書体 NP-R" w:hAnsi="UD デジタル 教科書体 NP-R" w:eastAsia="UD デジタル 教科書体 NP-R"/>
          <w:color w:val="auto"/>
          <w:sz w:val="21"/>
        </w:rPr>
        <w:t>27</w:t>
      </w:r>
      <w:r>
        <w:rPr>
          <w:rFonts w:hint="eastAsia" w:ascii="UD デジタル 教科書体 NP-R" w:hAnsi="UD デジタル 教科書体 NP-R" w:eastAsia="UD デジタル 教科書体 NP-R"/>
          <w:color w:val="auto"/>
          <w:sz w:val="21"/>
        </w:rPr>
        <w:t>年</w:t>
      </w:r>
      <w:r>
        <w:rPr>
          <w:rFonts w:hint="eastAsia" w:ascii="UD デジタル 教科書体 NP-R" w:hAnsi="UD デジタル 教科書体 NP-R" w:eastAsia="UD デジタル 教科書体 NP-R"/>
          <w:color w:val="auto"/>
          <w:sz w:val="21"/>
        </w:rPr>
        <w:t>4</w:t>
      </w:r>
      <w:r>
        <w:rPr>
          <w:rFonts w:hint="eastAsia" w:ascii="UD デジタル 教科書体 NP-R" w:hAnsi="UD デジタル 教科書体 NP-R" w:eastAsia="UD デジタル 教科書体 NP-R"/>
          <w:color w:val="auto"/>
          <w:sz w:val="21"/>
        </w:rPr>
        <w:t>月</w:t>
      </w:r>
      <w:r>
        <w:rPr>
          <w:rFonts w:hint="eastAsia" w:ascii="UD デジタル 教科書体 NP-R" w:hAnsi="UD デジタル 教科書体 NP-R" w:eastAsia="UD デジタル 教科書体 NP-R"/>
          <w:color w:val="auto"/>
          <w:sz w:val="21"/>
        </w:rPr>
        <w:t>1</w:t>
      </w:r>
      <w:r>
        <w:rPr>
          <w:rFonts w:hint="eastAsia" w:ascii="UD デジタル 教科書体 NP-R" w:hAnsi="UD デジタル 教科書体 NP-R" w:eastAsia="UD デジタル 教科書体 NP-R"/>
          <w:color w:val="auto"/>
          <w:sz w:val="21"/>
        </w:rPr>
        <w:t>日施行）は廃止する。</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附</w:t>
      </w: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則</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（施行期日等）</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210" w:firstLineChars="100"/>
        <w:textAlignment w:val="auto"/>
        <w:outlineLvl w:val="9"/>
        <w:rPr>
          <w:rFonts w:hint="eastAsia" w:ascii="UD デジタル 教科書体 NP-R" w:hAnsi="UD デジタル 教科書体 NP-R" w:eastAsia="UD デジタル 教科書体 NP-R"/>
          <w:color w:val="auto"/>
          <w:sz w:val="21"/>
        </w:rPr>
      </w:pPr>
      <w:r>
        <w:rPr>
          <w:rFonts w:hint="eastAsia" w:ascii="UD デジタル 教科書体 NP-R" w:hAnsi="UD デジタル 教科書体 NP-R" w:eastAsia="UD デジタル 教科書体 NP-R"/>
          <w:color w:val="auto"/>
          <w:sz w:val="21"/>
        </w:rPr>
        <w:t xml:space="preserve"> </w:t>
      </w:r>
      <w:r>
        <w:rPr>
          <w:rFonts w:hint="eastAsia" w:ascii="UD デジタル 教科書体 NP-R" w:hAnsi="UD デジタル 教科書体 NP-R" w:eastAsia="UD デジタル 教科書体 NP-R"/>
          <w:color w:val="auto"/>
          <w:sz w:val="21"/>
        </w:rPr>
        <w:t>この心得は、令和５年</w:t>
      </w:r>
      <w:r>
        <w:rPr>
          <w:rFonts w:hint="eastAsia" w:ascii="UD デジタル 教科書体 NP-R" w:hAnsi="UD デジタル 教科書体 NP-R" w:eastAsia="UD デジタル 教科書体 NP-R"/>
          <w:color w:val="auto"/>
          <w:sz w:val="21"/>
        </w:rPr>
        <w:t>4</w:t>
      </w:r>
      <w:r>
        <w:rPr>
          <w:rFonts w:hint="eastAsia" w:ascii="UD デジタル 教科書体 NP-R" w:hAnsi="UD デジタル 教科書体 NP-R" w:eastAsia="UD デジタル 教科書体 NP-R"/>
          <w:color w:val="auto"/>
          <w:sz w:val="21"/>
        </w:rPr>
        <w:t>月</w:t>
      </w:r>
      <w:r>
        <w:rPr>
          <w:rFonts w:hint="eastAsia" w:ascii="UD デジタル 教科書体 NP-R" w:hAnsi="UD デジタル 教科書体 NP-R" w:eastAsia="UD デジタル 教科書体 NP-R"/>
          <w:color w:val="auto"/>
          <w:sz w:val="21"/>
        </w:rPr>
        <w:t>1</w:t>
      </w:r>
      <w:r>
        <w:rPr>
          <w:rFonts w:hint="eastAsia" w:ascii="UD デジタル 教科書体 NP-R" w:hAnsi="UD デジタル 教科書体 NP-R" w:eastAsia="UD デジタル 教科書体 NP-R"/>
          <w:color w:val="auto"/>
          <w:sz w:val="21"/>
        </w:rPr>
        <w:t>日から施行する。</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210" w:firstLineChars="100"/>
        <w:textAlignment w:val="auto"/>
        <w:outlineLvl w:val="9"/>
        <w:rPr>
          <w:rFonts w:hint="eastAsia" w:ascii="UD デジタル 教科書体 NP-R" w:hAnsi="UD デジタル 教科書体 NP-R" w:eastAsia="UD デジタル 教科書体 NP-R"/>
          <w:color w:val="auto"/>
          <w:sz w:val="21"/>
        </w:rPr>
      </w:pPr>
      <w:r>
        <w:rPr>
          <w:rFonts w:hint="eastAsia"/>
          <w:color w:val="auto"/>
        </w:rPr>
        <w:br w:type="page"/>
      </w:r>
    </w:p>
    <w:p>
      <w:pPr>
        <w:pStyle w:val="0"/>
        <w:rPr>
          <w:rFonts w:hint="eastAsia" w:eastAsia="ＭＳ ゴシック"/>
          <w:color w:val="auto"/>
          <w:sz w:val="21"/>
        </w:rPr>
      </w:pPr>
      <w:r>
        <w:rPr>
          <w:rFonts w:hint="eastAsia" w:eastAsia="ＭＳ ゴシック"/>
          <w:color w:val="auto"/>
          <w:sz w:val="21"/>
        </w:rPr>
        <w:t>第１号様式</w:t>
      </w:r>
    </w:p>
    <w:p>
      <w:pPr>
        <w:pStyle w:val="0"/>
        <w:rPr>
          <w:rFonts w:hint="eastAsia"/>
          <w:color w:val="auto"/>
          <w:sz w:val="21"/>
        </w:rPr>
      </w:pPr>
    </w:p>
    <w:p>
      <w:pPr>
        <w:pStyle w:val="0"/>
        <w:jc w:val="right"/>
        <w:rPr>
          <w:rFonts w:hint="eastAsia"/>
          <w:color w:val="auto"/>
          <w:sz w:val="21"/>
        </w:rPr>
      </w:pPr>
      <w:r>
        <w:rPr>
          <w:rFonts w:hint="eastAsia"/>
          <w:color w:val="auto"/>
          <w:sz w:val="21"/>
        </w:rPr>
        <w:t>令和　　年　　月　　日</w:t>
      </w:r>
    </w:p>
    <w:p>
      <w:pPr>
        <w:pStyle w:val="0"/>
        <w:rPr>
          <w:rFonts w:hint="eastAsia"/>
          <w:color w:val="auto"/>
          <w:sz w:val="21"/>
        </w:rPr>
      </w:pPr>
    </w:p>
    <w:p>
      <w:pPr>
        <w:pStyle w:val="17"/>
        <w:tabs>
          <w:tab w:val="clear" w:pos="4252"/>
          <w:tab w:val="clear" w:pos="8504"/>
        </w:tabs>
        <w:snapToGrid w:val="1"/>
        <w:rPr>
          <w:rFonts w:hint="eastAsia"/>
          <w:color w:val="auto"/>
          <w:sz w:val="21"/>
        </w:rPr>
      </w:pPr>
    </w:p>
    <w:p>
      <w:pPr>
        <w:pStyle w:val="0"/>
        <w:rPr>
          <w:rFonts w:hint="eastAsia"/>
          <w:color w:val="auto"/>
          <w:sz w:val="21"/>
        </w:rPr>
      </w:pPr>
      <w:r>
        <w:rPr>
          <w:rFonts w:hint="eastAsia"/>
          <w:color w:val="auto"/>
          <w:sz w:val="21"/>
        </w:rPr>
        <w:t>　津野町長　　　　　　　　　　　様</w:t>
      </w:r>
    </w:p>
    <w:p>
      <w:pPr>
        <w:pStyle w:val="0"/>
        <w:rPr>
          <w:rFonts w:hint="eastAsia"/>
          <w:color w:val="auto"/>
          <w:sz w:val="21"/>
        </w:rPr>
      </w:pPr>
    </w:p>
    <w:p>
      <w:pPr>
        <w:pStyle w:val="0"/>
        <w:rPr>
          <w:rFonts w:hint="eastAsia"/>
          <w:color w:val="auto"/>
          <w:sz w:val="21"/>
        </w:rPr>
      </w:pPr>
    </w:p>
    <w:p>
      <w:pPr>
        <w:pStyle w:val="0"/>
        <w:rPr>
          <w:rFonts w:hint="eastAsia"/>
          <w:color w:val="auto"/>
          <w:sz w:val="21"/>
        </w:rPr>
      </w:pPr>
    </w:p>
    <w:p>
      <w:pPr>
        <w:pStyle w:val="0"/>
        <w:ind w:firstLine="4562" w:firstLineChars="1970"/>
        <w:rPr>
          <w:rFonts w:hint="eastAsia"/>
          <w:color w:val="auto"/>
          <w:sz w:val="21"/>
        </w:rPr>
      </w:pPr>
      <w:r>
        <w:rPr>
          <w:rFonts w:hint="eastAsia"/>
          <w:color w:val="auto"/>
          <w:sz w:val="21"/>
        </w:rPr>
        <w:t>住　所</w:t>
      </w:r>
    </w:p>
    <w:p>
      <w:pPr>
        <w:pStyle w:val="0"/>
        <w:rPr>
          <w:rFonts w:hint="eastAsia"/>
          <w:color w:val="auto"/>
          <w:sz w:val="21"/>
        </w:rPr>
      </w:pPr>
    </w:p>
    <w:p>
      <w:pPr>
        <w:pStyle w:val="0"/>
        <w:ind w:firstLine="4562" w:firstLineChars="1970"/>
        <w:rPr>
          <w:rFonts w:hint="eastAsia"/>
          <w:color w:val="auto"/>
          <w:sz w:val="21"/>
        </w:rPr>
      </w:pPr>
      <w:r>
        <w:rPr>
          <w:rFonts w:hint="eastAsia"/>
          <w:color w:val="auto"/>
          <w:sz w:val="21"/>
        </w:rPr>
        <w:t>氏　名　　　　　　　　　　　　　　　印</w:t>
      </w:r>
    </w:p>
    <w:p>
      <w:pPr>
        <w:pStyle w:val="0"/>
        <w:rPr>
          <w:rFonts w:hint="eastAsia"/>
          <w:color w:val="auto"/>
          <w:sz w:val="21"/>
        </w:rPr>
      </w:pPr>
    </w:p>
    <w:p>
      <w:pPr>
        <w:pStyle w:val="0"/>
        <w:rPr>
          <w:rFonts w:hint="eastAsia"/>
          <w:color w:val="auto"/>
          <w:sz w:val="21"/>
        </w:rPr>
      </w:pPr>
    </w:p>
    <w:p>
      <w:pPr>
        <w:pStyle w:val="0"/>
        <w:rPr>
          <w:rFonts w:hint="eastAsia"/>
          <w:color w:val="auto"/>
          <w:sz w:val="21"/>
        </w:rPr>
      </w:pPr>
    </w:p>
    <w:p>
      <w:pPr>
        <w:pStyle w:val="0"/>
        <w:jc w:val="center"/>
        <w:rPr>
          <w:rFonts w:hint="eastAsia"/>
          <w:color w:val="auto"/>
          <w:sz w:val="36"/>
          <w:u w:val="dotted" w:color="auto"/>
        </w:rPr>
      </w:pPr>
      <w:r>
        <w:rPr>
          <w:rFonts w:hint="eastAsia"/>
          <w:color w:val="auto"/>
          <w:sz w:val="36"/>
          <w:u w:val="dotted" w:color="auto"/>
        </w:rPr>
        <w:t>委　　任　　状</w:t>
      </w:r>
    </w:p>
    <w:p>
      <w:pPr>
        <w:pStyle w:val="0"/>
        <w:rPr>
          <w:rFonts w:hint="eastAsia"/>
          <w:color w:val="auto"/>
          <w:sz w:val="21"/>
          <w:u w:val="dotted" w:color="auto"/>
        </w:rPr>
      </w:pPr>
    </w:p>
    <w:p>
      <w:pPr>
        <w:pStyle w:val="0"/>
        <w:rPr>
          <w:rFonts w:hint="eastAsia"/>
          <w:color w:val="auto"/>
          <w:sz w:val="21"/>
          <w:u w:val="dotted" w:color="auto"/>
        </w:rPr>
      </w:pPr>
    </w:p>
    <w:p>
      <w:pPr>
        <w:pStyle w:val="0"/>
        <w:rPr>
          <w:rFonts w:hint="eastAsia"/>
          <w:color w:val="auto"/>
          <w:sz w:val="21"/>
          <w:u w:val="dotted" w:color="auto"/>
        </w:rPr>
      </w:pPr>
    </w:p>
    <w:p>
      <w:pPr>
        <w:pStyle w:val="17"/>
        <w:tabs>
          <w:tab w:val="clear" w:pos="4252"/>
          <w:tab w:val="clear" w:pos="8504"/>
        </w:tabs>
        <w:snapToGrid w:val="1"/>
        <w:rPr>
          <w:rFonts w:hint="eastAsia"/>
          <w:color w:val="auto"/>
          <w:sz w:val="21"/>
        </w:rPr>
      </w:pPr>
      <w:r>
        <w:rPr>
          <w:rFonts w:hint="eastAsia"/>
          <w:color w:val="auto"/>
          <w:sz w:val="21"/>
        </w:rPr>
        <w:t>　下記の者を代理人と定め、令和　　年　　月　　日に執行する</w:t>
      </w:r>
    </w:p>
    <w:p>
      <w:pPr>
        <w:pStyle w:val="17"/>
        <w:tabs>
          <w:tab w:val="clear" w:pos="4252"/>
          <w:tab w:val="clear" w:pos="8504"/>
        </w:tabs>
        <w:snapToGrid w:val="1"/>
        <w:rPr>
          <w:rFonts w:hint="eastAsia"/>
          <w:color w:val="auto"/>
          <w:sz w:val="21"/>
        </w:rPr>
      </w:pPr>
    </w:p>
    <w:p>
      <w:pPr>
        <w:pStyle w:val="17"/>
        <w:tabs>
          <w:tab w:val="clear" w:pos="4252"/>
          <w:tab w:val="clear" w:pos="8504"/>
        </w:tabs>
        <w:snapToGrid w:val="1"/>
        <w:ind w:left="0" w:leftChars="0" w:right="0" w:rightChars="0" w:firstLine="0" w:firstLineChars="0"/>
        <w:rPr>
          <w:rFonts w:hint="eastAsia"/>
          <w:color w:val="auto"/>
          <w:sz w:val="21"/>
        </w:rPr>
      </w:pPr>
    </w:p>
    <w:p>
      <w:pPr>
        <w:pStyle w:val="17"/>
        <w:tabs>
          <w:tab w:val="clear" w:pos="4252"/>
          <w:tab w:val="clear" w:pos="8504"/>
        </w:tabs>
        <w:snapToGrid w:val="1"/>
        <w:ind w:left="0" w:leftChars="0" w:right="0" w:rightChars="0" w:firstLine="0" w:firstLineChars="0"/>
        <w:rPr>
          <w:rFonts w:hint="eastAsia"/>
          <w:color w:val="auto"/>
          <w:sz w:val="21"/>
        </w:rPr>
      </w:pPr>
      <w:r>
        <w:rPr>
          <w:rFonts w:hint="eastAsia"/>
          <w:color w:val="auto"/>
          <w:sz w:val="21"/>
        </w:rPr>
        <w:t>　　件　名</w:t>
      </w:r>
    </w:p>
    <w:p>
      <w:pPr>
        <w:pStyle w:val="17"/>
        <w:tabs>
          <w:tab w:val="clear" w:pos="4252"/>
          <w:tab w:val="clear" w:pos="8504"/>
        </w:tabs>
        <w:snapToGrid w:val="1"/>
        <w:ind w:left="0" w:leftChars="0" w:right="0" w:rightChars="0" w:firstLine="0" w:firstLineChars="0"/>
        <w:rPr>
          <w:rFonts w:hint="eastAsia"/>
          <w:color w:val="auto"/>
          <w:sz w:val="21"/>
        </w:rPr>
      </w:pPr>
    </w:p>
    <w:p>
      <w:pPr>
        <w:pStyle w:val="17"/>
        <w:tabs>
          <w:tab w:val="clear" w:pos="4252"/>
          <w:tab w:val="clear" w:pos="8504"/>
        </w:tabs>
        <w:snapToGrid w:val="1"/>
        <w:ind w:left="0" w:leftChars="0" w:right="0" w:rightChars="0" w:firstLine="0" w:firstLineChars="0"/>
        <w:rPr>
          <w:rFonts w:hint="eastAsia"/>
          <w:color w:val="auto"/>
          <w:sz w:val="21"/>
        </w:rPr>
      </w:pPr>
    </w:p>
    <w:p>
      <w:pPr>
        <w:pStyle w:val="17"/>
        <w:tabs>
          <w:tab w:val="clear" w:pos="4252"/>
          <w:tab w:val="clear" w:pos="8504"/>
        </w:tabs>
        <w:snapToGrid w:val="1"/>
        <w:ind w:left="0" w:leftChars="0" w:right="0" w:rightChars="0" w:firstLine="0" w:firstLineChars="0"/>
        <w:rPr>
          <w:rFonts w:hint="eastAsia"/>
          <w:color w:val="auto"/>
          <w:sz w:val="21"/>
        </w:rPr>
      </w:pPr>
      <w:r>
        <w:rPr>
          <w:rFonts w:hint="eastAsia"/>
          <w:color w:val="auto"/>
          <w:sz w:val="21"/>
        </w:rPr>
        <w:t>　　　　　　　　　　　　　　　　　　　　の入札及び見積に関する一切の権限を委任する。</w:t>
      </w:r>
    </w:p>
    <w:p>
      <w:pPr>
        <w:pStyle w:val="17"/>
        <w:tabs>
          <w:tab w:val="clear" w:pos="4252"/>
          <w:tab w:val="clear" w:pos="8504"/>
        </w:tabs>
        <w:snapToGrid w:val="1"/>
        <w:ind w:left="0" w:leftChars="0" w:right="0" w:rightChars="0" w:firstLine="0" w:firstLineChars="0"/>
        <w:rPr>
          <w:rFonts w:hint="eastAsia"/>
          <w:color w:val="auto"/>
          <w:sz w:val="21"/>
        </w:rPr>
      </w:pPr>
    </w:p>
    <w:p>
      <w:pPr>
        <w:pStyle w:val="17"/>
        <w:tabs>
          <w:tab w:val="clear" w:pos="4252"/>
          <w:tab w:val="clear" w:pos="8504"/>
        </w:tabs>
        <w:snapToGrid w:val="1"/>
        <w:ind w:left="0" w:leftChars="0" w:right="0" w:rightChars="0" w:firstLine="0" w:firstLineChars="0"/>
        <w:rPr>
          <w:rFonts w:hint="eastAsia"/>
          <w:color w:val="auto"/>
          <w:sz w:val="21"/>
        </w:rPr>
      </w:pPr>
    </w:p>
    <w:p>
      <w:pPr>
        <w:pStyle w:val="17"/>
        <w:tabs>
          <w:tab w:val="clear" w:pos="4252"/>
          <w:tab w:val="clear" w:pos="8504"/>
        </w:tabs>
        <w:snapToGrid w:val="1"/>
        <w:ind w:left="0" w:leftChars="0" w:right="0" w:rightChars="0" w:firstLine="0" w:firstLineChars="0"/>
        <w:rPr>
          <w:rFonts w:hint="eastAsia"/>
          <w:color w:val="auto"/>
          <w:sz w:val="21"/>
        </w:rPr>
      </w:pPr>
    </w:p>
    <w:p>
      <w:pPr>
        <w:pStyle w:val="17"/>
        <w:tabs>
          <w:tab w:val="clear" w:pos="4252"/>
          <w:tab w:val="clear" w:pos="8504"/>
        </w:tabs>
        <w:snapToGrid w:val="1"/>
        <w:ind w:left="0" w:leftChars="0" w:right="0" w:rightChars="0" w:firstLine="0" w:firstLineChars="0"/>
        <w:rPr>
          <w:rFonts w:hint="eastAsia"/>
          <w:color w:val="auto"/>
          <w:sz w:val="21"/>
        </w:rPr>
      </w:pPr>
    </w:p>
    <w:p>
      <w:pPr>
        <w:pStyle w:val="17"/>
        <w:tabs>
          <w:tab w:val="clear" w:pos="4252"/>
          <w:tab w:val="clear" w:pos="8504"/>
        </w:tabs>
        <w:snapToGrid w:val="1"/>
        <w:ind w:left="0" w:leftChars="0" w:right="0" w:rightChars="0" w:firstLine="0" w:firstLineChars="0"/>
        <w:rPr>
          <w:rFonts w:hint="eastAsia"/>
          <w:color w:val="auto"/>
          <w:sz w:val="21"/>
        </w:rPr>
      </w:pPr>
    </w:p>
    <w:p>
      <w:pPr>
        <w:pStyle w:val="0"/>
        <w:rPr>
          <w:rFonts w:hint="eastAsia"/>
          <w:color w:val="auto"/>
          <w:sz w:val="21"/>
        </w:rPr>
      </w:pPr>
    </w:p>
    <w:p>
      <w:pPr>
        <w:pStyle w:val="0"/>
        <w:ind w:firstLine="4562" w:firstLineChars="1970"/>
        <w:rPr>
          <w:rFonts w:hint="eastAsia"/>
          <w:color w:val="auto"/>
          <w:sz w:val="21"/>
        </w:rPr>
      </w:pPr>
      <w:r>
        <w:rPr>
          <w:rFonts w:hint="eastAsia"/>
          <w:color w:val="auto"/>
          <w:sz w:val="21"/>
        </w:rPr>
        <w:t>住　所</w:t>
      </w:r>
    </w:p>
    <w:p>
      <w:pPr>
        <w:pStyle w:val="0"/>
        <w:rPr>
          <w:rFonts w:hint="eastAsia"/>
          <w:color w:val="auto"/>
          <w:sz w:val="21"/>
        </w:rPr>
      </w:pPr>
      <w:r>
        <w:rPr>
          <w:rFonts w:hint="eastAsia"/>
          <w:color w:val="auto"/>
          <w:sz w:val="21"/>
        </w:rPr>
        <w:t>　　　　　　　　　　　代理人</w:t>
      </w:r>
    </w:p>
    <w:p>
      <w:pPr>
        <w:pStyle w:val="0"/>
        <w:ind w:firstLine="4562" w:firstLineChars="1970"/>
        <w:rPr>
          <w:rFonts w:hint="eastAsia"/>
          <w:color w:val="auto"/>
          <w:sz w:val="21"/>
        </w:rPr>
      </w:pPr>
      <w:r>
        <w:rPr>
          <w:rFonts w:hint="eastAsia"/>
          <w:color w:val="auto"/>
          <w:sz w:val="21"/>
        </w:rPr>
        <w:t>氏　名　　　　　　　　　　　　　　　印</w:t>
      </w:r>
    </w:p>
    <w:p>
      <w:pPr>
        <w:pStyle w:val="0"/>
        <w:ind w:leftChars="0" w:firstLine="0" w:firstLineChars="0"/>
        <w:rPr>
          <w:rFonts w:hint="eastAsia"/>
          <w:color w:val="auto"/>
          <w:sz w:val="21"/>
        </w:rPr>
      </w:pPr>
    </w:p>
    <w:p>
      <w:pPr>
        <w:pStyle w:val="0"/>
        <w:ind w:leftChars="0" w:firstLine="0" w:firstLineChars="0"/>
        <w:rPr>
          <w:rFonts w:hint="eastAsia"/>
          <w:color w:val="auto"/>
          <w:sz w:val="21"/>
        </w:rPr>
      </w:pPr>
    </w:p>
    <w:p>
      <w:pPr>
        <w:pStyle w:val="0"/>
        <w:ind w:leftChars="0" w:firstLine="0" w:firstLineChars="0"/>
        <w:rPr>
          <w:rFonts w:hint="eastAsia"/>
          <w:color w:val="auto"/>
          <w:sz w:val="21"/>
        </w:rPr>
      </w:pPr>
    </w:p>
    <w:p>
      <w:pPr>
        <w:pStyle w:val="0"/>
        <w:ind w:left="692" w:hanging="692" w:hangingChars="299"/>
        <w:rPr>
          <w:rFonts w:hint="eastAsia"/>
          <w:color w:val="auto"/>
          <w:sz w:val="21"/>
        </w:rPr>
      </w:pPr>
    </w:p>
    <w:p>
      <w:pPr>
        <w:pStyle w:val="0"/>
        <w:ind w:left="692" w:hanging="692" w:hangingChars="299"/>
        <w:rPr>
          <w:rFonts w:hint="eastAsia"/>
          <w:color w:val="auto"/>
          <w:sz w:val="21"/>
        </w:rPr>
      </w:pPr>
    </w:p>
    <w:p>
      <w:pPr>
        <w:pStyle w:val="0"/>
        <w:ind w:left="692" w:hanging="692" w:hangingChars="299"/>
        <w:rPr>
          <w:rFonts w:hint="eastAsia"/>
          <w:color w:val="auto"/>
          <w:sz w:val="21"/>
        </w:rPr>
      </w:pPr>
      <w:r>
        <w:rPr>
          <w:rFonts w:hint="eastAsia"/>
          <w:color w:val="auto"/>
        </w:rPr>
        <w:br w:type="page"/>
      </w:r>
    </w:p>
    <w:p>
      <w:pPr>
        <w:pStyle w:val="0"/>
        <w:rPr>
          <w:rFonts w:hint="eastAsia" w:eastAsia="ＭＳ ゴシック"/>
          <w:color w:val="auto"/>
          <w:sz w:val="21"/>
        </w:rPr>
      </w:pPr>
      <w:r>
        <w:rPr>
          <w:rFonts w:hint="eastAsia" w:eastAsia="ＭＳ ゴシック"/>
          <w:color w:val="auto"/>
          <w:sz w:val="21"/>
        </w:rPr>
        <w:t>第２号様式</w:t>
      </w:r>
    </w:p>
    <w:p>
      <w:pPr>
        <w:pStyle w:val="0"/>
        <w:rPr>
          <w:rFonts w:hint="eastAsia"/>
          <w:color w:val="auto"/>
          <w:sz w:val="21"/>
        </w:rPr>
      </w:pPr>
    </w:p>
    <w:p>
      <w:pPr>
        <w:pStyle w:val="0"/>
        <w:jc w:val="right"/>
        <w:rPr>
          <w:rFonts w:hint="eastAsia"/>
          <w:color w:val="auto"/>
          <w:sz w:val="21"/>
        </w:rPr>
      </w:pPr>
      <w:r>
        <w:rPr>
          <w:rFonts w:hint="eastAsia"/>
          <w:color w:val="auto"/>
          <w:sz w:val="21"/>
        </w:rPr>
        <w:t>令和　　年　　月　　日</w:t>
      </w:r>
    </w:p>
    <w:p>
      <w:pPr>
        <w:pStyle w:val="0"/>
        <w:rPr>
          <w:rFonts w:hint="eastAsia"/>
          <w:color w:val="auto"/>
          <w:sz w:val="21"/>
        </w:rPr>
      </w:pPr>
    </w:p>
    <w:p>
      <w:pPr>
        <w:pStyle w:val="17"/>
        <w:tabs>
          <w:tab w:val="clear" w:pos="4252"/>
          <w:tab w:val="clear" w:pos="8504"/>
        </w:tabs>
        <w:snapToGrid w:val="1"/>
        <w:rPr>
          <w:rFonts w:hint="eastAsia"/>
          <w:color w:val="auto"/>
          <w:sz w:val="21"/>
        </w:rPr>
      </w:pPr>
    </w:p>
    <w:p>
      <w:pPr>
        <w:pStyle w:val="0"/>
        <w:rPr>
          <w:rFonts w:hint="eastAsia"/>
          <w:color w:val="auto"/>
          <w:sz w:val="21"/>
        </w:rPr>
      </w:pPr>
      <w:r>
        <w:rPr>
          <w:rFonts w:hint="eastAsia"/>
          <w:color w:val="auto"/>
          <w:sz w:val="21"/>
        </w:rPr>
        <w:t>　津野町長　　　　　　　　　　　様</w:t>
      </w:r>
    </w:p>
    <w:p>
      <w:pPr>
        <w:pStyle w:val="0"/>
        <w:rPr>
          <w:rFonts w:hint="eastAsia"/>
          <w:color w:val="auto"/>
          <w:sz w:val="21"/>
        </w:rPr>
      </w:pPr>
    </w:p>
    <w:p>
      <w:pPr>
        <w:pStyle w:val="0"/>
        <w:rPr>
          <w:rFonts w:hint="eastAsia"/>
          <w:color w:val="auto"/>
          <w:sz w:val="21"/>
        </w:rPr>
      </w:pPr>
    </w:p>
    <w:p>
      <w:pPr>
        <w:pStyle w:val="0"/>
        <w:rPr>
          <w:rFonts w:hint="eastAsia"/>
          <w:color w:val="auto"/>
          <w:sz w:val="21"/>
        </w:rPr>
      </w:pPr>
    </w:p>
    <w:p>
      <w:pPr>
        <w:pStyle w:val="0"/>
        <w:ind w:firstLine="4562" w:firstLineChars="1970"/>
        <w:rPr>
          <w:rFonts w:hint="eastAsia"/>
          <w:color w:val="auto"/>
          <w:sz w:val="21"/>
        </w:rPr>
      </w:pPr>
      <w:r>
        <w:rPr>
          <w:rFonts w:hint="eastAsia"/>
          <w:color w:val="auto"/>
          <w:sz w:val="21"/>
        </w:rPr>
        <w:t>住　所</w:t>
      </w:r>
    </w:p>
    <w:p>
      <w:pPr>
        <w:pStyle w:val="0"/>
        <w:rPr>
          <w:rFonts w:hint="eastAsia"/>
          <w:color w:val="auto"/>
          <w:sz w:val="21"/>
        </w:rPr>
      </w:pPr>
    </w:p>
    <w:p>
      <w:pPr>
        <w:pStyle w:val="0"/>
        <w:ind w:firstLine="4562" w:firstLineChars="1970"/>
        <w:rPr>
          <w:rFonts w:hint="eastAsia"/>
          <w:color w:val="auto"/>
          <w:sz w:val="21"/>
        </w:rPr>
      </w:pPr>
      <w:r>
        <w:rPr>
          <w:rFonts w:hint="eastAsia"/>
          <w:color w:val="auto"/>
          <w:sz w:val="21"/>
        </w:rPr>
        <w:t>氏　名　　　　　　　　　　　　　　　印</w:t>
      </w:r>
    </w:p>
    <w:p>
      <w:pPr>
        <w:pStyle w:val="0"/>
        <w:rPr>
          <w:rFonts w:hint="eastAsia"/>
          <w:color w:val="auto"/>
          <w:sz w:val="21"/>
        </w:rPr>
      </w:pPr>
    </w:p>
    <w:p>
      <w:pPr>
        <w:pStyle w:val="0"/>
        <w:rPr>
          <w:rFonts w:hint="eastAsia"/>
          <w:color w:val="auto"/>
          <w:sz w:val="21"/>
        </w:rPr>
      </w:pPr>
    </w:p>
    <w:p>
      <w:pPr>
        <w:pStyle w:val="0"/>
        <w:rPr>
          <w:rFonts w:hint="eastAsia"/>
          <w:color w:val="auto"/>
          <w:sz w:val="21"/>
        </w:rPr>
      </w:pPr>
    </w:p>
    <w:p>
      <w:pPr>
        <w:pStyle w:val="0"/>
        <w:jc w:val="center"/>
        <w:rPr>
          <w:rFonts w:hint="eastAsia"/>
          <w:color w:val="auto"/>
          <w:sz w:val="36"/>
          <w:u w:val="dotted" w:color="auto"/>
        </w:rPr>
      </w:pPr>
      <w:r>
        <w:rPr>
          <w:rFonts w:hint="eastAsia"/>
          <w:color w:val="auto"/>
          <w:sz w:val="36"/>
          <w:u w:val="dotted" w:color="auto"/>
        </w:rPr>
        <w:t>入　　札　　書</w:t>
      </w:r>
    </w:p>
    <w:p>
      <w:pPr>
        <w:pStyle w:val="0"/>
        <w:rPr>
          <w:rFonts w:hint="eastAsia"/>
          <w:color w:val="auto"/>
          <w:sz w:val="21"/>
          <w:u w:val="dotted" w:color="auto"/>
        </w:rPr>
      </w:pPr>
    </w:p>
    <w:p>
      <w:pPr>
        <w:pStyle w:val="0"/>
        <w:rPr>
          <w:rFonts w:hint="eastAsia"/>
          <w:color w:val="auto"/>
          <w:sz w:val="21"/>
          <w:u w:val="dotted" w:color="auto"/>
        </w:rPr>
      </w:pPr>
    </w:p>
    <w:p>
      <w:pPr>
        <w:pStyle w:val="0"/>
        <w:rPr>
          <w:rFonts w:hint="eastAsia"/>
          <w:color w:val="auto"/>
          <w:sz w:val="21"/>
          <w:u w:val="dotted" w:color="auto"/>
        </w:rPr>
      </w:pPr>
    </w:p>
    <w:p>
      <w:pPr>
        <w:pStyle w:val="17"/>
        <w:tabs>
          <w:tab w:val="clear" w:pos="4252"/>
          <w:tab w:val="clear" w:pos="8504"/>
        </w:tabs>
        <w:snapToGrid w:val="1"/>
        <w:rPr>
          <w:rFonts w:hint="eastAsia"/>
          <w:color w:val="auto"/>
          <w:sz w:val="21"/>
        </w:rPr>
      </w:pPr>
      <w:r>
        <w:rPr>
          <w:rFonts w:hint="eastAsia"/>
          <w:color w:val="auto"/>
          <w:sz w:val="21"/>
        </w:rPr>
        <w:t>　入札の諸条件を承諾のうえ下記のとおり入札します。</w:t>
      </w:r>
    </w:p>
    <w:p>
      <w:pPr>
        <w:pStyle w:val="17"/>
        <w:tabs>
          <w:tab w:val="clear" w:pos="4252"/>
          <w:tab w:val="clear" w:pos="8504"/>
        </w:tabs>
        <w:snapToGrid w:val="1"/>
        <w:rPr>
          <w:rFonts w:hint="eastAsia"/>
          <w:color w:val="auto"/>
          <w:sz w:val="21"/>
        </w:rPr>
      </w:pPr>
    </w:p>
    <w:p>
      <w:pPr>
        <w:pStyle w:val="17"/>
        <w:tabs>
          <w:tab w:val="clear" w:pos="4252"/>
          <w:tab w:val="clear" w:pos="8504"/>
        </w:tabs>
        <w:snapToGrid w:val="1"/>
        <w:ind w:firstLine="7470" w:firstLineChars="3226"/>
        <w:rPr>
          <w:rFonts w:hint="eastAsia"/>
          <w:color w:val="auto"/>
          <w:sz w:val="21"/>
        </w:rPr>
      </w:pPr>
      <w:r>
        <w:rPr>
          <w:rFonts w:hint="eastAsia"/>
          <w:color w:val="auto"/>
          <w:sz w:val="21"/>
        </w:rPr>
        <w:t>（単位：円）</w:t>
      </w:r>
    </w:p>
    <w:p>
      <w:pPr>
        <w:pStyle w:val="0"/>
        <w:rPr>
          <w:rFonts w:hint="eastAsia"/>
          <w:color w:val="auto"/>
          <w:sz w:val="21"/>
        </w:rPr>
      </w:pPr>
    </w:p>
    <w:tbl>
      <w:tblPr>
        <w:tblStyle w:val="11"/>
        <w:tblW w:w="885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1362"/>
        <w:gridCol w:w="693"/>
        <w:gridCol w:w="675"/>
        <w:gridCol w:w="690"/>
        <w:gridCol w:w="675"/>
        <w:gridCol w:w="675"/>
        <w:gridCol w:w="690"/>
        <w:gridCol w:w="675"/>
        <w:gridCol w:w="690"/>
        <w:gridCol w:w="675"/>
        <w:gridCol w:w="675"/>
        <w:gridCol w:w="675"/>
      </w:tblGrid>
      <w:tr>
        <w:trPr>
          <w:cantSplit/>
          <w:trHeight w:val="978" w:hRule="atLeast"/>
        </w:trPr>
        <w:tc>
          <w:tcPr>
            <w:tcW w:w="1362"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17"/>
              <w:tabs>
                <w:tab w:val="clear" w:pos="4252"/>
                <w:tab w:val="clear" w:pos="8504"/>
              </w:tabs>
              <w:snapToGrid w:val="1"/>
              <w:rPr>
                <w:rFonts w:hint="eastAsia"/>
                <w:color w:val="auto"/>
                <w:sz w:val="21"/>
              </w:rPr>
            </w:pPr>
          </w:p>
          <w:p>
            <w:pPr>
              <w:pStyle w:val="0"/>
              <w:widowControl w:val="1"/>
              <w:jc w:val="center"/>
              <w:rPr>
                <w:rFonts w:hint="eastAsia"/>
                <w:color w:val="auto"/>
                <w:sz w:val="21"/>
              </w:rPr>
            </w:pPr>
            <w:r>
              <w:rPr>
                <w:rFonts w:hint="eastAsia"/>
                <w:color w:val="auto"/>
                <w:sz w:val="21"/>
              </w:rPr>
              <w:t>金　額</w:t>
            </w:r>
          </w:p>
          <w:p>
            <w:pPr>
              <w:pStyle w:val="0"/>
              <w:rPr>
                <w:rFonts w:hint="eastAsia"/>
                <w:color w:val="auto"/>
                <w:sz w:val="21"/>
              </w:rPr>
            </w:pPr>
          </w:p>
        </w:tc>
        <w:tc>
          <w:tcPr>
            <w:tcW w:w="693" w:type="dxa"/>
            <w:tcBorders>
              <w:top w:val="none" w:color="auto" w:sz="0" w:space="0"/>
              <w:left w:val="single" w:color="auto" w:sz="4" w:space="0"/>
              <w:bottom w:val="none" w:color="auto" w:sz="0" w:space="0"/>
              <w:right w:val="dotted" w:color="auto" w:sz="4" w:space="0"/>
              <w:tl2br w:val="none" w:color="auto" w:sz="0" w:space="0"/>
              <w:tr2bl w:val="none" w:color="auto" w:sz="0" w:space="0"/>
            </w:tcBorders>
            <w:vAlign w:val="top"/>
          </w:tcPr>
          <w:p>
            <w:pPr>
              <w:pStyle w:val="0"/>
              <w:widowControl w:val="1"/>
              <w:jc w:val="left"/>
              <w:rPr>
                <w:rFonts w:hint="default"/>
                <w:color w:val="auto"/>
                <w:sz w:val="21"/>
              </w:rPr>
            </w:pPr>
          </w:p>
          <w:p>
            <w:pPr>
              <w:pStyle w:val="0"/>
              <w:widowControl w:val="1"/>
              <w:jc w:val="left"/>
              <w:rPr>
                <w:rFonts w:hint="default"/>
                <w:color w:val="auto"/>
                <w:sz w:val="21"/>
              </w:rPr>
            </w:pPr>
          </w:p>
          <w:p>
            <w:pPr>
              <w:pStyle w:val="0"/>
              <w:rPr>
                <w:rFonts w:hint="eastAsia"/>
                <w:color w:val="auto"/>
                <w:sz w:val="21"/>
              </w:rPr>
            </w:pPr>
          </w:p>
        </w:tc>
        <w:tc>
          <w:tcPr>
            <w:tcW w:w="675"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widowControl w:val="1"/>
              <w:jc w:val="left"/>
              <w:rPr>
                <w:rFonts w:hint="default"/>
                <w:color w:val="auto"/>
                <w:sz w:val="21"/>
              </w:rPr>
            </w:pPr>
          </w:p>
          <w:p>
            <w:pPr>
              <w:pStyle w:val="0"/>
              <w:widowControl w:val="1"/>
              <w:jc w:val="left"/>
              <w:rPr>
                <w:rFonts w:hint="default"/>
                <w:color w:val="auto"/>
                <w:sz w:val="21"/>
              </w:rPr>
            </w:pPr>
          </w:p>
          <w:p>
            <w:pPr>
              <w:pStyle w:val="0"/>
              <w:rPr>
                <w:rFonts w:hint="eastAsia"/>
                <w:color w:val="auto"/>
                <w:sz w:val="21"/>
              </w:rPr>
            </w:pPr>
          </w:p>
        </w:tc>
        <w:tc>
          <w:tcPr>
            <w:tcW w:w="690"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top"/>
          </w:tcPr>
          <w:p>
            <w:pPr>
              <w:pStyle w:val="0"/>
              <w:widowControl w:val="1"/>
              <w:jc w:val="left"/>
              <w:rPr>
                <w:rFonts w:hint="default"/>
                <w:color w:val="auto"/>
                <w:sz w:val="21"/>
              </w:rPr>
            </w:pPr>
          </w:p>
          <w:p>
            <w:pPr>
              <w:pStyle w:val="0"/>
              <w:widowControl w:val="1"/>
              <w:jc w:val="left"/>
              <w:rPr>
                <w:rFonts w:hint="default"/>
                <w:color w:val="auto"/>
                <w:sz w:val="21"/>
              </w:rPr>
            </w:pPr>
          </w:p>
          <w:p>
            <w:pPr>
              <w:pStyle w:val="0"/>
              <w:rPr>
                <w:rFonts w:hint="eastAsia"/>
                <w:color w:val="auto"/>
                <w:sz w:val="21"/>
              </w:rPr>
            </w:pPr>
          </w:p>
        </w:tc>
        <w:tc>
          <w:tcPr>
            <w:tcW w:w="675"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widowControl w:val="1"/>
              <w:jc w:val="left"/>
              <w:rPr>
                <w:rFonts w:hint="default"/>
                <w:color w:val="auto"/>
                <w:sz w:val="21"/>
              </w:rPr>
            </w:pPr>
          </w:p>
          <w:p>
            <w:pPr>
              <w:pStyle w:val="0"/>
              <w:widowControl w:val="1"/>
              <w:jc w:val="left"/>
              <w:rPr>
                <w:rFonts w:hint="default"/>
                <w:color w:val="auto"/>
                <w:sz w:val="21"/>
              </w:rPr>
            </w:pPr>
          </w:p>
          <w:p>
            <w:pPr>
              <w:pStyle w:val="0"/>
              <w:rPr>
                <w:rFonts w:hint="eastAsia"/>
                <w:color w:val="auto"/>
                <w:sz w:val="21"/>
              </w:rPr>
            </w:pPr>
          </w:p>
        </w:tc>
        <w:tc>
          <w:tcPr>
            <w:tcW w:w="675"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widowControl w:val="1"/>
              <w:jc w:val="left"/>
              <w:rPr>
                <w:rFonts w:hint="default"/>
                <w:color w:val="auto"/>
                <w:sz w:val="21"/>
              </w:rPr>
            </w:pPr>
          </w:p>
          <w:p>
            <w:pPr>
              <w:pStyle w:val="0"/>
              <w:widowControl w:val="1"/>
              <w:jc w:val="left"/>
              <w:rPr>
                <w:rFonts w:hint="default"/>
                <w:color w:val="auto"/>
                <w:sz w:val="21"/>
              </w:rPr>
            </w:pPr>
          </w:p>
          <w:p>
            <w:pPr>
              <w:pStyle w:val="0"/>
              <w:rPr>
                <w:rFonts w:hint="eastAsia"/>
                <w:color w:val="auto"/>
                <w:sz w:val="21"/>
              </w:rPr>
            </w:pPr>
          </w:p>
        </w:tc>
        <w:tc>
          <w:tcPr>
            <w:tcW w:w="690"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top"/>
          </w:tcPr>
          <w:p>
            <w:pPr>
              <w:pStyle w:val="0"/>
              <w:widowControl w:val="1"/>
              <w:jc w:val="left"/>
              <w:rPr>
                <w:rFonts w:hint="default"/>
                <w:color w:val="auto"/>
                <w:sz w:val="21"/>
              </w:rPr>
            </w:pPr>
          </w:p>
          <w:p>
            <w:pPr>
              <w:pStyle w:val="0"/>
              <w:widowControl w:val="1"/>
              <w:jc w:val="left"/>
              <w:rPr>
                <w:rFonts w:hint="default"/>
                <w:color w:val="auto"/>
                <w:sz w:val="21"/>
              </w:rPr>
            </w:pPr>
          </w:p>
          <w:p>
            <w:pPr>
              <w:pStyle w:val="0"/>
              <w:rPr>
                <w:rFonts w:hint="eastAsia"/>
                <w:color w:val="auto"/>
                <w:sz w:val="21"/>
              </w:rPr>
            </w:pPr>
          </w:p>
        </w:tc>
        <w:tc>
          <w:tcPr>
            <w:tcW w:w="675"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widowControl w:val="1"/>
              <w:jc w:val="left"/>
              <w:rPr>
                <w:rFonts w:hint="default"/>
                <w:color w:val="auto"/>
                <w:sz w:val="21"/>
              </w:rPr>
            </w:pPr>
          </w:p>
          <w:p>
            <w:pPr>
              <w:pStyle w:val="0"/>
              <w:widowControl w:val="1"/>
              <w:jc w:val="left"/>
              <w:rPr>
                <w:rFonts w:hint="default"/>
                <w:color w:val="auto"/>
                <w:sz w:val="21"/>
              </w:rPr>
            </w:pPr>
          </w:p>
          <w:p>
            <w:pPr>
              <w:pStyle w:val="0"/>
              <w:rPr>
                <w:rFonts w:hint="eastAsia"/>
                <w:color w:val="auto"/>
                <w:sz w:val="21"/>
              </w:rPr>
            </w:pPr>
          </w:p>
        </w:tc>
        <w:tc>
          <w:tcPr>
            <w:tcW w:w="690"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widowControl w:val="1"/>
              <w:jc w:val="left"/>
              <w:rPr>
                <w:rFonts w:hint="default"/>
                <w:color w:val="auto"/>
                <w:sz w:val="21"/>
              </w:rPr>
            </w:pPr>
          </w:p>
          <w:p>
            <w:pPr>
              <w:pStyle w:val="0"/>
              <w:widowControl w:val="1"/>
              <w:jc w:val="left"/>
              <w:rPr>
                <w:rFonts w:hint="default"/>
                <w:color w:val="auto"/>
                <w:sz w:val="21"/>
              </w:rPr>
            </w:pPr>
          </w:p>
          <w:p>
            <w:pPr>
              <w:pStyle w:val="0"/>
              <w:rPr>
                <w:rFonts w:hint="eastAsia"/>
                <w:color w:val="auto"/>
                <w:sz w:val="21"/>
              </w:rPr>
            </w:pPr>
          </w:p>
        </w:tc>
        <w:tc>
          <w:tcPr>
            <w:tcW w:w="675"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top"/>
          </w:tcPr>
          <w:p>
            <w:pPr>
              <w:pStyle w:val="0"/>
              <w:widowControl w:val="1"/>
              <w:jc w:val="left"/>
              <w:rPr>
                <w:rFonts w:hint="default"/>
                <w:color w:val="auto"/>
                <w:sz w:val="21"/>
              </w:rPr>
            </w:pPr>
          </w:p>
          <w:p>
            <w:pPr>
              <w:pStyle w:val="0"/>
              <w:widowControl w:val="1"/>
              <w:jc w:val="left"/>
              <w:rPr>
                <w:rFonts w:hint="default"/>
                <w:color w:val="auto"/>
                <w:sz w:val="21"/>
              </w:rPr>
            </w:pPr>
          </w:p>
          <w:p>
            <w:pPr>
              <w:pStyle w:val="0"/>
              <w:rPr>
                <w:rFonts w:hint="eastAsia"/>
                <w:color w:val="auto"/>
                <w:sz w:val="21"/>
              </w:rPr>
            </w:pPr>
          </w:p>
        </w:tc>
        <w:tc>
          <w:tcPr>
            <w:tcW w:w="675"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widowControl w:val="1"/>
              <w:jc w:val="left"/>
              <w:rPr>
                <w:rFonts w:hint="default"/>
                <w:color w:val="auto"/>
                <w:sz w:val="21"/>
              </w:rPr>
            </w:pPr>
          </w:p>
          <w:p>
            <w:pPr>
              <w:pStyle w:val="0"/>
              <w:widowControl w:val="1"/>
              <w:jc w:val="left"/>
              <w:rPr>
                <w:rFonts w:hint="default"/>
                <w:color w:val="auto"/>
                <w:sz w:val="21"/>
              </w:rPr>
            </w:pPr>
          </w:p>
          <w:p>
            <w:pPr>
              <w:pStyle w:val="0"/>
              <w:rPr>
                <w:rFonts w:hint="eastAsia"/>
                <w:color w:val="auto"/>
                <w:sz w:val="21"/>
              </w:rPr>
            </w:pPr>
          </w:p>
        </w:tc>
        <w:tc>
          <w:tcPr>
            <w:tcW w:w="675" w:type="dxa"/>
            <w:tcBorders>
              <w:top w:val="none" w:color="auto" w:sz="0" w:space="0"/>
              <w:left w:val="dotted" w:color="auto" w:sz="4" w:space="0"/>
              <w:bottom w:val="none" w:color="auto" w:sz="0" w:space="0"/>
              <w:right w:val="none" w:color="auto" w:sz="0" w:space="0"/>
              <w:tl2br w:val="none" w:color="auto" w:sz="0" w:space="0"/>
              <w:tr2bl w:val="none" w:color="auto" w:sz="0" w:space="0"/>
            </w:tcBorders>
            <w:vAlign w:val="top"/>
          </w:tcPr>
          <w:p>
            <w:pPr>
              <w:pStyle w:val="0"/>
              <w:widowControl w:val="1"/>
              <w:jc w:val="left"/>
              <w:rPr>
                <w:rFonts w:hint="default"/>
                <w:color w:val="auto"/>
                <w:sz w:val="21"/>
              </w:rPr>
            </w:pPr>
          </w:p>
          <w:p>
            <w:pPr>
              <w:pStyle w:val="0"/>
              <w:widowControl w:val="1"/>
              <w:jc w:val="left"/>
              <w:rPr>
                <w:rFonts w:hint="default"/>
                <w:color w:val="auto"/>
                <w:sz w:val="21"/>
              </w:rPr>
            </w:pPr>
          </w:p>
          <w:p>
            <w:pPr>
              <w:pStyle w:val="0"/>
              <w:rPr>
                <w:rFonts w:hint="eastAsia"/>
                <w:color w:val="auto"/>
                <w:sz w:val="21"/>
              </w:rPr>
            </w:pPr>
          </w:p>
        </w:tc>
      </w:tr>
      <w:tr>
        <w:trPr>
          <w:cantSplit/>
          <w:trHeight w:val="2923" w:hRule="atLeast"/>
        </w:trPr>
        <w:tc>
          <w:tcPr>
            <w:tcW w:w="1362"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color w:val="auto"/>
                <w:sz w:val="21"/>
              </w:rPr>
            </w:pPr>
          </w:p>
          <w:p>
            <w:pPr>
              <w:pStyle w:val="0"/>
              <w:rPr>
                <w:rFonts w:hint="eastAsia"/>
                <w:color w:val="auto"/>
                <w:sz w:val="21"/>
              </w:rPr>
            </w:pPr>
            <w:r>
              <w:rPr>
                <w:rFonts w:hint="eastAsia"/>
                <w:color w:val="auto"/>
                <w:sz w:val="21"/>
              </w:rPr>
              <w:t>(</w:t>
            </w:r>
            <w:r>
              <w:rPr>
                <w:rFonts w:hint="eastAsia"/>
                <w:color w:val="auto"/>
                <w:sz w:val="21"/>
              </w:rPr>
              <w:t>工事</w:t>
            </w:r>
            <w:r>
              <w:rPr>
                <w:rFonts w:hint="eastAsia"/>
                <w:color w:val="auto"/>
                <w:sz w:val="21"/>
              </w:rPr>
              <w:t>(</w:t>
            </w:r>
            <w:r>
              <w:rPr>
                <w:rFonts w:hint="eastAsia"/>
                <w:color w:val="auto"/>
                <w:sz w:val="21"/>
              </w:rPr>
              <w:t>業務</w:t>
            </w:r>
            <w:r>
              <w:rPr>
                <w:rFonts w:hint="eastAsia"/>
                <w:color w:val="auto"/>
                <w:sz w:val="21"/>
              </w:rPr>
              <w:t>)</w:t>
            </w:r>
            <w:r>
              <w:rPr>
                <w:rFonts w:hint="eastAsia"/>
                <w:color w:val="auto"/>
                <w:sz w:val="21"/>
              </w:rPr>
              <w:t>番号</w:t>
            </w:r>
            <w:r>
              <w:rPr>
                <w:rFonts w:hint="eastAsia"/>
                <w:color w:val="auto"/>
                <w:sz w:val="21"/>
              </w:rPr>
              <w:t>)</w:t>
            </w:r>
          </w:p>
          <w:p>
            <w:pPr>
              <w:pStyle w:val="0"/>
              <w:rPr>
                <w:rFonts w:hint="eastAsia"/>
                <w:color w:val="auto"/>
                <w:sz w:val="2"/>
              </w:rPr>
            </w:pPr>
          </w:p>
          <w:p>
            <w:pPr>
              <w:pStyle w:val="0"/>
              <w:rPr>
                <w:rFonts w:hint="eastAsia"/>
                <w:color w:val="auto"/>
                <w:sz w:val="21"/>
              </w:rPr>
            </w:pPr>
          </w:p>
          <w:p>
            <w:pPr>
              <w:pStyle w:val="0"/>
              <w:jc w:val="center"/>
              <w:rPr>
                <w:rFonts w:hint="eastAsia"/>
                <w:color w:val="auto"/>
                <w:sz w:val="20"/>
              </w:rPr>
            </w:pPr>
            <w:r>
              <w:rPr>
                <w:rFonts w:hint="eastAsia"/>
                <w:color w:val="auto"/>
                <w:sz w:val="20"/>
              </w:rPr>
              <w:t>工事</w:t>
            </w:r>
            <w:r>
              <w:rPr>
                <w:rFonts w:hint="eastAsia"/>
                <w:color w:val="auto"/>
                <w:sz w:val="20"/>
              </w:rPr>
              <w:t>(</w:t>
            </w:r>
            <w:r>
              <w:rPr>
                <w:rFonts w:hint="eastAsia"/>
                <w:color w:val="auto"/>
                <w:sz w:val="20"/>
              </w:rPr>
              <w:t>業務</w:t>
            </w:r>
            <w:r>
              <w:rPr>
                <w:rFonts w:hint="eastAsia"/>
                <w:color w:val="auto"/>
                <w:sz w:val="20"/>
              </w:rPr>
              <w:t>)</w:t>
            </w:r>
            <w:r>
              <w:rPr>
                <w:rFonts w:hint="eastAsia"/>
                <w:color w:val="auto"/>
                <w:sz w:val="20"/>
              </w:rPr>
              <w:t>名</w:t>
            </w:r>
          </w:p>
        </w:tc>
        <w:tc>
          <w:tcPr>
            <w:tcW w:w="7488" w:type="dxa"/>
            <w:gridSpan w:val="11"/>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color w:val="auto"/>
                <w:sz w:val="21"/>
              </w:rPr>
            </w:pPr>
            <w:r>
              <w:rPr>
                <w:rFonts w:hint="eastAsia"/>
                <w:color w:val="auto"/>
              </w:rPr>
              <mc:AlternateContent>
                <mc:Choice Requires="wps">
                  <w:drawing>
                    <wp:anchor simplePos="0" relativeHeight="3" behindDoc="0" locked="0" layoutInCell="1" hidden="0" allowOverlap="1">
                      <wp:simplePos x="0" y="0"/>
                      <wp:positionH relativeFrom="column">
                        <wp:posOffset>-570865</wp:posOffset>
                      </wp:positionH>
                      <wp:positionV relativeFrom="paragraph">
                        <wp:posOffset>-283845</wp:posOffset>
                      </wp:positionV>
                      <wp:extent cx="5118100" cy="99949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5118100" cy="999490"/>
                              </a:xfrm>
                              <a:prstGeom prst="rect">
                                <a:avLst/>
                              </a:prstGeom>
                              <a:solidFill>
                                <a:srgbClr val="FFFFFF"/>
                              </a:solidFill>
                              <a:ln w="25400">
                                <a:solidFill>
                                  <a:sysClr val="windowText" lastClr="000000"/>
                                </a:solidFill>
                                <a:prstDash val="sysDot"/>
                                <a:miter/>
                              </a:ln>
                            </wps:spPr>
                            <wps:txbx>
                              <w:txbxContent>
                                <w:p>
                                  <w:pPr>
                                    <w:pStyle w:val="0"/>
                                    <w:rPr>
                                      <w:rFonts w:hint="default" w:ascii="HGPｺﾞｼｯｸM" w:hAnsi="HGPｺﾞｼｯｸM" w:eastAsia="HGPｺﾞｼｯｸM"/>
                                      <w:sz w:val="20"/>
                                    </w:rPr>
                                  </w:pPr>
                                  <w:r>
                                    <w:rPr>
                                      <w:rFonts w:hint="eastAsia" w:ascii="HGPｺﾞｼｯｸM" w:hAnsi="HGPｺﾞｼｯｸM" w:eastAsia="HGPｺﾞｼｯｸM"/>
                                      <w:sz w:val="20"/>
                                    </w:rPr>
                                    <w:t>【留意事項】※入札書として使用する際には、この枠内の記載及び枠は削除する。</w:t>
                                  </w:r>
                                </w:p>
                                <w:p>
                                  <w:pPr>
                                    <w:pStyle w:val="0"/>
                                    <w:spacing w:before="151" w:beforeLines="50" w:beforeAutospacing="0" w:after="151" w:afterLines="50" w:afterAutospacing="0"/>
                                    <w:ind w:left="242" w:hanging="242" w:hangingChars="100"/>
                                    <w:rPr>
                                      <w:rFonts w:hint="default" w:ascii="HGPｺﾞｼｯｸM" w:hAnsi="HGPｺﾞｼｯｸM" w:eastAsia="HGPｺﾞｼｯｸM"/>
                                      <w:sz w:val="18"/>
                                    </w:rPr>
                                  </w:pPr>
                                  <w:r>
                                    <w:rPr>
                                      <w:rFonts w:hint="eastAsia" w:ascii="HGPｺﾞｼｯｸM" w:hAnsi="HGPｺﾞｼｯｸM" w:eastAsia="HGPｺﾞｼｯｸM"/>
                                      <w:sz w:val="18"/>
                                    </w:rPr>
                                    <w:t>◎備考３に記載している「契約希望金額の</w:t>
                                  </w:r>
                                  <w:r>
                                    <w:rPr>
                                      <w:rFonts w:hint="eastAsia" w:ascii="HGPｺﾞｼｯｸM" w:hAnsi="HGPｺﾞｼｯｸM" w:eastAsia="HGPｺﾞｼｯｸM"/>
                                      <w:sz w:val="18"/>
                                    </w:rPr>
                                    <w:t>110</w:t>
                                  </w:r>
                                  <w:r>
                                    <w:rPr>
                                      <w:rFonts w:hint="eastAsia" w:ascii="HGPｺﾞｼｯｸM" w:hAnsi="HGPｺﾞｼｯｸM" w:eastAsia="HGPｺﾞｼｯｸM"/>
                                      <w:sz w:val="18"/>
                                    </w:rPr>
                                    <w:t>分の</w:t>
                                  </w:r>
                                  <w:r>
                                    <w:rPr>
                                      <w:rFonts w:hint="eastAsia" w:ascii="HGPｺﾞｼｯｸM" w:hAnsi="HGPｺﾞｼｯｸM" w:eastAsia="HGPｺﾞｼｯｸM"/>
                                      <w:sz w:val="18"/>
                                    </w:rPr>
                                    <w:t>100</w:t>
                                  </w:r>
                                  <w:r>
                                    <w:rPr>
                                      <w:rFonts w:hint="eastAsia" w:ascii="HGPｺﾞｼｯｸM" w:hAnsi="HGPｺﾞｼｯｸM" w:eastAsia="HGPｺﾞｼｯｸM"/>
                                      <w:sz w:val="18"/>
                                    </w:rPr>
                                    <w:t>に相当する金額を記載すること」について、　　　本様式以外を使用される場合においても、税抜の金額ということを明確にするうえで、原則記載していただくようにお願いします。</w:t>
                                  </w:r>
                                </w:p>
                              </w:txbxContent>
                            </wps:txbx>
                            <wps:bodyPr vertOverflow="overflow" horzOverflow="overflow" wrap="square"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3;width:403pt;height:78.7pt;mso-position-horizontal-relative:text;position:absolute;margin-left:-44.95pt;margin-top:-22.35pt;" o:spid="_x0000_s1026" o:allowincell="t" o:allowoverlap="t" filled="t" fillcolor="#ffffff" stroked="t" strokecolor="#000000" strokeweight="2pt" o:spt="202" type="#_x0000_t202">
                      <v:fill/>
                      <v:stroke dashstyle="shortdot" filltype="solid"/>
                      <v:textbox style="layout-flow:horizontal;">
                        <w:txbxContent>
                          <w:p>
                            <w:pPr>
                              <w:pStyle w:val="0"/>
                              <w:rPr>
                                <w:rFonts w:hint="default" w:ascii="HGPｺﾞｼｯｸM" w:hAnsi="HGPｺﾞｼｯｸM" w:eastAsia="HGPｺﾞｼｯｸM"/>
                                <w:sz w:val="20"/>
                              </w:rPr>
                            </w:pPr>
                            <w:r>
                              <w:rPr>
                                <w:rFonts w:hint="eastAsia" w:ascii="HGPｺﾞｼｯｸM" w:hAnsi="HGPｺﾞｼｯｸM" w:eastAsia="HGPｺﾞｼｯｸM"/>
                                <w:sz w:val="20"/>
                              </w:rPr>
                              <w:t>【留意事項】※入札書として使用する際には、この枠内の記載及び枠は削除する。</w:t>
                            </w:r>
                          </w:p>
                          <w:p>
                            <w:pPr>
                              <w:pStyle w:val="0"/>
                              <w:spacing w:before="151" w:beforeLines="50" w:beforeAutospacing="0" w:after="151" w:afterLines="50" w:afterAutospacing="0"/>
                              <w:ind w:left="242" w:hanging="242" w:hangingChars="100"/>
                              <w:rPr>
                                <w:rFonts w:hint="default" w:ascii="HGPｺﾞｼｯｸM" w:hAnsi="HGPｺﾞｼｯｸM" w:eastAsia="HGPｺﾞｼｯｸM"/>
                                <w:sz w:val="18"/>
                              </w:rPr>
                            </w:pPr>
                            <w:r>
                              <w:rPr>
                                <w:rFonts w:hint="eastAsia" w:ascii="HGPｺﾞｼｯｸM" w:hAnsi="HGPｺﾞｼｯｸM" w:eastAsia="HGPｺﾞｼｯｸM"/>
                                <w:sz w:val="18"/>
                              </w:rPr>
                              <w:t>◎備考３に記載している「契約希望金額の</w:t>
                            </w:r>
                            <w:r>
                              <w:rPr>
                                <w:rFonts w:hint="eastAsia" w:ascii="HGPｺﾞｼｯｸM" w:hAnsi="HGPｺﾞｼｯｸM" w:eastAsia="HGPｺﾞｼｯｸM"/>
                                <w:sz w:val="18"/>
                              </w:rPr>
                              <w:t>110</w:t>
                            </w:r>
                            <w:r>
                              <w:rPr>
                                <w:rFonts w:hint="eastAsia" w:ascii="HGPｺﾞｼｯｸM" w:hAnsi="HGPｺﾞｼｯｸM" w:eastAsia="HGPｺﾞｼｯｸM"/>
                                <w:sz w:val="18"/>
                              </w:rPr>
                              <w:t>分の</w:t>
                            </w:r>
                            <w:r>
                              <w:rPr>
                                <w:rFonts w:hint="eastAsia" w:ascii="HGPｺﾞｼｯｸM" w:hAnsi="HGPｺﾞｼｯｸM" w:eastAsia="HGPｺﾞｼｯｸM"/>
                                <w:sz w:val="18"/>
                              </w:rPr>
                              <w:t>100</w:t>
                            </w:r>
                            <w:r>
                              <w:rPr>
                                <w:rFonts w:hint="eastAsia" w:ascii="HGPｺﾞｼｯｸM" w:hAnsi="HGPｺﾞｼｯｸM" w:eastAsia="HGPｺﾞｼｯｸM"/>
                                <w:sz w:val="18"/>
                              </w:rPr>
                              <w:t>に相当する金額を記載すること」について、　　　本様式以外を使用される場合においても、税抜の金額ということを明確にするうえで、原則記載していただくようにお願いします。</w:t>
                            </w:r>
                          </w:p>
                        </w:txbxContent>
                      </v:textbox>
                      <v:imagedata o:title=""/>
                      <w10:wrap type="none" anchorx="text" anchory="text"/>
                    </v:shape>
                  </w:pict>
                </mc:Fallback>
              </mc:AlternateContent>
            </w:r>
          </w:p>
          <w:p>
            <w:pPr>
              <w:pStyle w:val="0"/>
              <w:rPr>
                <w:rFonts w:hint="eastAsia"/>
                <w:color w:val="auto"/>
                <w:sz w:val="21"/>
              </w:rPr>
            </w:pPr>
            <w:r>
              <w:rPr>
                <w:rFonts w:hint="eastAsia"/>
                <w:color w:val="auto"/>
                <w:sz w:val="21"/>
              </w:rPr>
              <w:t>　　（　　　　　　　　　第　　　　　　　号　）</w:t>
            </w:r>
          </w:p>
        </w:tc>
      </w:tr>
    </w:tbl>
    <w:p>
      <w:pPr>
        <w:pStyle w:val="0"/>
        <w:ind w:left="692" w:hanging="692" w:hangingChars="299"/>
        <w:rPr>
          <w:rFonts w:hint="eastAsia"/>
          <w:color w:val="auto"/>
          <w:sz w:val="21"/>
        </w:rPr>
      </w:pPr>
      <w:r>
        <w:rPr>
          <w:rFonts w:hint="eastAsia"/>
          <w:color w:val="auto"/>
          <w:sz w:val="21"/>
        </w:rPr>
        <w:t>備考１　法人の場合にあっては、住所及び氏名は、所在地、商号又は名称及び代表者の職氏名を記入すること。</w:t>
      </w:r>
    </w:p>
    <w:p>
      <w:pPr>
        <w:pStyle w:val="0"/>
        <w:ind w:left="692" w:hanging="692" w:hangingChars="299"/>
        <w:rPr>
          <w:rFonts w:hint="eastAsia"/>
          <w:color w:val="auto"/>
          <w:sz w:val="21"/>
        </w:rPr>
      </w:pPr>
      <w:r>
        <w:rPr>
          <w:rFonts w:hint="eastAsia"/>
          <w:color w:val="auto"/>
          <w:sz w:val="21"/>
        </w:rPr>
        <w:t>　　２　代理入札の場合は、委任者の住所及び氏名の下に「代理人」の表示をしてその者の住所及び氏名を記入し押印すること。</w:t>
      </w:r>
    </w:p>
    <w:p>
      <w:pPr>
        <w:pStyle w:val="0"/>
        <w:ind w:left="692" w:hanging="692" w:hangingChars="299"/>
        <w:rPr>
          <w:rFonts w:hint="eastAsia"/>
          <w:color w:val="auto"/>
          <w:sz w:val="21"/>
        </w:rPr>
      </w:pPr>
      <w:r>
        <w:rPr>
          <w:rFonts w:hint="eastAsia"/>
          <w:color w:val="auto"/>
          <w:sz w:val="21"/>
        </w:rPr>
        <w:t>　　３　入札金額の数字の頭には￥を冠し、契約希望金額の</w:t>
      </w:r>
      <w:r>
        <w:rPr>
          <w:rFonts w:hint="eastAsia"/>
          <w:color w:val="auto"/>
          <w:sz w:val="21"/>
        </w:rPr>
        <w:t>110</w:t>
      </w:r>
      <w:r>
        <w:rPr>
          <w:rFonts w:hint="eastAsia"/>
          <w:color w:val="auto"/>
          <w:sz w:val="21"/>
        </w:rPr>
        <w:t>分の</w:t>
      </w:r>
      <w:r>
        <w:rPr>
          <w:rFonts w:hint="eastAsia"/>
          <w:color w:val="auto"/>
          <w:sz w:val="21"/>
        </w:rPr>
        <w:t>100</w:t>
      </w:r>
      <w:r>
        <w:rPr>
          <w:rFonts w:hint="eastAsia"/>
          <w:color w:val="auto"/>
          <w:sz w:val="21"/>
        </w:rPr>
        <w:t>に相当する金額を記載すること。</w:t>
      </w:r>
    </w:p>
    <w:p>
      <w:pPr>
        <w:pStyle w:val="0"/>
        <w:ind w:left="692" w:hanging="692" w:hangingChars="299"/>
        <w:rPr>
          <w:rFonts w:hint="eastAsia"/>
          <w:color w:val="auto"/>
          <w:sz w:val="21"/>
        </w:rPr>
      </w:pPr>
      <w:r>
        <w:rPr>
          <w:rFonts w:hint="eastAsia"/>
          <w:color w:val="auto"/>
        </w:rPr>
        <w:br w:type="page"/>
      </w:r>
    </w:p>
    <w:p>
      <w:pPr>
        <w:pStyle w:val="0"/>
        <w:autoSpaceDE w:val="0"/>
        <w:autoSpaceDN w:val="0"/>
        <w:rPr>
          <w:rFonts w:hint="default" w:ascii="ＭＳ ゴシック" w:hAnsi="ＭＳ ゴシック" w:eastAsia="ＭＳ ゴシック"/>
          <w:color w:val="auto"/>
        </w:rPr>
      </w:pPr>
      <w:r>
        <w:rPr>
          <w:rFonts w:hint="eastAsia" w:ascii="ＭＳ ゴシック" w:hAnsi="ＭＳ ゴシック" w:eastAsia="ＭＳ ゴシック"/>
          <w:color w:val="auto"/>
          <w:sz w:val="21"/>
        </w:rPr>
        <w:t>第３号様式</w:t>
      </w:r>
    </w:p>
    <w:p>
      <w:pPr>
        <w:pStyle w:val="0"/>
        <w:autoSpaceDE w:val="0"/>
        <w:autoSpaceDN w:val="0"/>
        <w:jc w:val="right"/>
        <w:rPr>
          <w:rFonts w:hint="default"/>
          <w:color w:val="auto"/>
        </w:rPr>
      </w:pPr>
      <w:r>
        <w:rPr>
          <w:rFonts w:hint="eastAsia"/>
          <w:color w:val="auto"/>
        </w:rPr>
        <w:t>令和　　年　　月　　日</w:t>
      </w:r>
    </w:p>
    <w:p>
      <w:pPr>
        <w:pStyle w:val="0"/>
        <w:autoSpaceDE w:val="0"/>
        <w:autoSpaceDN w:val="0"/>
        <w:ind w:firstLine="202" w:firstLineChars="100"/>
        <w:rPr>
          <w:rFonts w:hint="default"/>
          <w:color w:val="auto"/>
        </w:rPr>
      </w:pPr>
      <w:r>
        <w:rPr>
          <w:rFonts w:hint="eastAsia"/>
          <w:color w:val="auto"/>
        </w:rPr>
        <w:t>津野町長　　　　　　　　　様</w:t>
      </w:r>
    </w:p>
    <w:p>
      <w:pPr>
        <w:pStyle w:val="0"/>
        <w:autoSpaceDE w:val="0"/>
        <w:autoSpaceDN w:val="0"/>
        <w:ind w:left="3826" w:firstLine="840"/>
        <w:rPr>
          <w:rFonts w:hint="default"/>
          <w:color w:val="auto"/>
        </w:rPr>
      </w:pPr>
      <w:r>
        <w:rPr>
          <w:rFonts w:hint="eastAsia"/>
          <w:color w:val="auto"/>
          <w:spacing w:val="30"/>
          <w:kern w:val="0"/>
          <w:fitText w:val="1414" w:id="1"/>
        </w:rPr>
        <w:t>所</w:t>
      </w:r>
      <w:r>
        <w:rPr>
          <w:rFonts w:hint="default"/>
          <w:color w:val="auto"/>
          <w:spacing w:val="30"/>
          <w:kern w:val="0"/>
          <w:fitText w:val="1414" w:id="1"/>
        </w:rPr>
        <w:t xml:space="preserve">  </w:t>
      </w:r>
      <w:r>
        <w:rPr>
          <w:rFonts w:hint="eastAsia"/>
          <w:color w:val="auto"/>
          <w:spacing w:val="30"/>
          <w:kern w:val="0"/>
          <w:fitText w:val="1414" w:id="1"/>
        </w:rPr>
        <w:t>在</w:t>
      </w:r>
      <w:r>
        <w:rPr>
          <w:rFonts w:hint="default"/>
          <w:color w:val="auto"/>
          <w:spacing w:val="30"/>
          <w:kern w:val="0"/>
          <w:fitText w:val="1414" w:id="1"/>
        </w:rPr>
        <w:t xml:space="preserve">  </w:t>
      </w:r>
      <w:r>
        <w:rPr>
          <w:rFonts w:hint="eastAsia"/>
          <w:color w:val="auto"/>
          <w:spacing w:val="2"/>
          <w:kern w:val="0"/>
          <w:fitText w:val="1414" w:id="1"/>
        </w:rPr>
        <w:t>地</w:t>
      </w:r>
    </w:p>
    <w:p>
      <w:pPr>
        <w:pStyle w:val="0"/>
        <w:autoSpaceDE w:val="0"/>
        <w:autoSpaceDN w:val="0"/>
        <w:ind w:left="3826" w:firstLine="840"/>
        <w:rPr>
          <w:rFonts w:hint="default"/>
          <w:color w:val="auto"/>
        </w:rPr>
      </w:pPr>
      <w:r>
        <w:rPr>
          <w:rFonts w:hint="eastAsia"/>
          <w:color w:val="auto"/>
          <w:spacing w:val="15"/>
          <w:kern w:val="0"/>
          <w:fitText w:val="1414" w:id="2"/>
        </w:rPr>
        <w:t>商号又は名</w:t>
      </w:r>
      <w:r>
        <w:rPr>
          <w:rFonts w:hint="eastAsia"/>
          <w:color w:val="auto"/>
          <w:spacing w:val="2"/>
          <w:kern w:val="0"/>
          <w:fitText w:val="1414" w:id="2"/>
        </w:rPr>
        <w:t>称</w:t>
      </w:r>
    </w:p>
    <w:p>
      <w:pPr>
        <w:pStyle w:val="0"/>
        <w:autoSpaceDE w:val="0"/>
        <w:autoSpaceDN w:val="0"/>
        <w:ind w:left="3826" w:firstLine="840"/>
        <w:rPr>
          <w:rFonts w:hint="default"/>
          <w:color w:val="auto"/>
        </w:rPr>
      </w:pPr>
      <w:r>
        <w:rPr>
          <w:rFonts w:hint="eastAsia"/>
          <w:color w:val="auto"/>
          <w:spacing w:val="15"/>
          <w:kern w:val="0"/>
          <w:fitText w:val="1414" w:id="3"/>
        </w:rPr>
        <w:t>代表者職氏</w:t>
      </w:r>
      <w:r>
        <w:rPr>
          <w:rFonts w:hint="eastAsia"/>
          <w:color w:val="auto"/>
          <w:spacing w:val="2"/>
          <w:kern w:val="0"/>
          <w:fitText w:val="1414" w:id="3"/>
        </w:rPr>
        <w:t>名</w:t>
      </w:r>
      <w:r>
        <w:rPr>
          <w:rFonts w:hint="default"/>
          <w:color w:val="auto"/>
          <w:kern w:val="0"/>
        </w:rPr>
        <w:t xml:space="preserve">              </w:t>
      </w:r>
      <w:r>
        <w:rPr>
          <w:rFonts w:hint="eastAsia"/>
          <w:color w:val="auto"/>
          <w:kern w:val="0"/>
        </w:rPr>
        <w:t xml:space="preserve">          </w:t>
      </w:r>
      <w:r>
        <w:rPr>
          <w:rFonts w:hint="eastAsia"/>
          <w:color w:val="auto"/>
          <w:kern w:val="0"/>
        </w:rPr>
        <w:t>印</w:t>
      </w:r>
    </w:p>
    <w:p>
      <w:pPr>
        <w:pStyle w:val="0"/>
        <w:autoSpaceDE w:val="0"/>
        <w:autoSpaceDN w:val="0"/>
        <w:jc w:val="center"/>
        <w:rPr>
          <w:rFonts w:hint="default"/>
          <w:color w:val="auto"/>
        </w:rPr>
      </w:pPr>
      <w:r>
        <w:rPr>
          <w:rFonts w:hint="eastAsia"/>
          <w:color w:val="auto"/>
          <w:sz w:val="28"/>
        </w:rPr>
        <w:t>工事費内訳書</w:t>
      </w:r>
    </w:p>
    <w:tbl>
      <w:tblPr>
        <w:tblStyle w:val="11"/>
        <w:tblW w:w="9072" w:type="dxa"/>
        <w:tblInd w:w="9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left w:w="99" w:type="dxa"/>
          <w:right w:w="99" w:type="dxa"/>
        </w:tblCellMar>
        <w:tblLook w:firstRow="0" w:lastRow="0" w:firstColumn="0" w:lastColumn="0" w:noHBand="1" w:noVBand="1" w:val="0600"/>
      </w:tblPr>
      <w:tblGrid>
        <w:gridCol w:w="2430"/>
        <w:gridCol w:w="6642"/>
      </w:tblGrid>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202" w:firstLineChars="100"/>
              <w:rPr>
                <w:rFonts w:hint="default"/>
                <w:color w:val="auto"/>
              </w:rPr>
            </w:pPr>
            <w:r>
              <w:rPr>
                <w:rFonts w:hint="eastAsia"/>
                <w:color w:val="auto"/>
              </w:rPr>
              <w:t>工　事　番　号</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○○第　号</w:t>
            </w:r>
          </w:p>
        </w:tc>
      </w:tr>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191" w:firstLineChars="95"/>
              <w:rPr>
                <w:rFonts w:hint="default"/>
                <w:color w:val="auto"/>
              </w:rPr>
            </w:pPr>
            <w:r>
              <w:rPr>
                <w:rFonts w:hint="eastAsia"/>
                <w:color w:val="auto"/>
              </w:rPr>
              <w:t>工　　事　　名</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○○道路改良工事</w:t>
            </w:r>
          </w:p>
        </w:tc>
      </w:tr>
    </w:tbl>
    <w:p>
      <w:pPr>
        <w:pStyle w:val="0"/>
        <w:autoSpaceDE w:val="0"/>
        <w:autoSpaceDN w:val="0"/>
        <w:rPr>
          <w:rFonts w:hint="default"/>
          <w:color w:val="auto"/>
          <w:sz w:val="10"/>
        </w:rPr>
      </w:pPr>
    </w:p>
    <w:tbl>
      <w:tblPr>
        <w:tblStyle w:val="11"/>
        <w:tblW w:w="9081" w:type="dxa"/>
        <w:tblInd w:w="9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left w:w="99" w:type="dxa"/>
          <w:right w:w="99" w:type="dxa"/>
        </w:tblCellMar>
        <w:tblLook w:firstRow="0" w:lastRow="0" w:firstColumn="0" w:lastColumn="0" w:noHBand="1" w:noVBand="1" w:val="0600"/>
      </w:tblPr>
      <w:tblGrid>
        <w:gridCol w:w="5355"/>
        <w:gridCol w:w="315"/>
        <w:gridCol w:w="300"/>
        <w:gridCol w:w="300"/>
        <w:gridCol w:w="309"/>
        <w:gridCol w:w="312"/>
        <w:gridCol w:w="315"/>
        <w:gridCol w:w="312"/>
        <w:gridCol w:w="312"/>
        <w:gridCol w:w="312"/>
        <w:gridCol w:w="312"/>
        <w:gridCol w:w="315"/>
        <w:gridCol w:w="312"/>
      </w:tblGrid>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mc:AlternateContent>
                <mc:Choice Requires="wps">
                  <w:drawing>
                    <wp:anchor simplePos="0" relativeHeight="2" behindDoc="0" locked="0" layoutInCell="1" hidden="0" allowOverlap="1">
                      <wp:simplePos x="0" y="0"/>
                      <wp:positionH relativeFrom="column">
                        <wp:posOffset>-415925</wp:posOffset>
                      </wp:positionH>
                      <wp:positionV relativeFrom="paragraph">
                        <wp:posOffset>200660</wp:posOffset>
                      </wp:positionV>
                      <wp:extent cx="6285865" cy="2306320"/>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txBox="1">
                              <a:spLocks noChangeArrowheads="1"/>
                            </wps:cNvSpPr>
                            <wps:spPr>
                              <a:xfrm>
                                <a:off x="0" y="0"/>
                                <a:ext cx="6285865" cy="2306320"/>
                              </a:xfrm>
                              <a:prstGeom prst="rect">
                                <a:avLst/>
                              </a:prstGeom>
                              <a:solidFill>
                                <a:srgbClr val="FFFFFF"/>
                              </a:solidFill>
                              <a:ln w="25400">
                                <a:solidFill>
                                  <a:sysClr val="windowText" lastClr="000000"/>
                                </a:solidFill>
                                <a:prstDash val="sysDot"/>
                                <a:miter/>
                              </a:ln>
                            </wps:spPr>
                            <wps:txbx>
                              <w:txbxContent>
                                <w:p>
                                  <w:pPr>
                                    <w:pStyle w:val="0"/>
                                    <w:rPr>
                                      <w:rFonts w:hint="default" w:ascii="HGPｺﾞｼｯｸM" w:hAnsi="HGPｺﾞｼｯｸM" w:eastAsia="HGPｺﾞｼｯｸM"/>
                                      <w:color w:val="auto"/>
                                      <w:sz w:val="20"/>
                                    </w:rPr>
                                  </w:pPr>
                                  <w:r>
                                    <w:rPr>
                                      <w:rFonts w:hint="eastAsia" w:ascii="HGPｺﾞｼｯｸM" w:hAnsi="HGPｺﾞｼｯｸM" w:eastAsia="HGPｺﾞｼｯｸM"/>
                                      <w:color w:val="auto"/>
                                      <w:sz w:val="20"/>
                                    </w:rPr>
                                    <w:t>【留意事項】※内訳書として使用する際には、この枠内の記載及び枠は削除する。</w:t>
                                  </w:r>
                                </w:p>
                                <w:p>
                                  <w:pPr>
                                    <w:pStyle w:val="0"/>
                                    <w:spacing w:before="151" w:beforeLines="50" w:beforeAutospacing="0" w:after="151" w:afterLines="50" w:afterAutospacing="0"/>
                                    <w:ind w:left="242" w:hanging="242" w:hangingChars="100"/>
                                    <w:rPr>
                                      <w:rFonts w:hint="default" w:ascii="HGPｺﾞｼｯｸM" w:hAnsi="HGPｺﾞｼｯｸM" w:eastAsia="HGPｺﾞｼｯｸM"/>
                                      <w:color w:val="auto"/>
                                      <w:sz w:val="18"/>
                                    </w:rPr>
                                  </w:pPr>
                                  <w:r>
                                    <w:rPr>
                                      <w:rFonts w:hint="eastAsia" w:ascii="HGPｺﾞｼｯｸM" w:hAnsi="HGPｺﾞｼｯｸM" w:eastAsia="HGPｺﾞｼｯｸM"/>
                                      <w:color w:val="auto"/>
                                      <w:sz w:val="18"/>
                                    </w:rPr>
                                    <w:t>◎直接工事費については、設計書等に基づき、内訳項目の記載が必要な工種・種別・細別等の区分までの内訳を記載すること（下記備考を参照）。</w:t>
                                  </w:r>
                                </w:p>
                                <w:p>
                                  <w:pPr>
                                    <w:pStyle w:val="0"/>
                                    <w:spacing w:before="151" w:beforeLines="50" w:beforeAutospacing="0"/>
                                    <w:ind w:left="242" w:hanging="242" w:hangingChars="100"/>
                                    <w:rPr>
                                      <w:rFonts w:hint="default" w:ascii="HGPｺﾞｼｯｸM" w:hAnsi="HGPｺﾞｼｯｸM" w:eastAsia="HGPｺﾞｼｯｸM"/>
                                      <w:color w:val="auto"/>
                                      <w:sz w:val="18"/>
                                    </w:rPr>
                                  </w:pPr>
                                  <w:r>
                                    <w:rPr>
                                      <w:rFonts w:hint="eastAsia" w:ascii="HGPｺﾞｼｯｸM" w:hAnsi="HGPｺﾞｼｯｸM" w:eastAsia="HGPｺﾞｼｯｸM"/>
                                      <w:color w:val="auto"/>
                                      <w:sz w:val="18"/>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403" w:leftChars="200" w:right="202" w:rightChars="100" w:firstLine="202" w:firstLineChars="100"/>
                                    <w:rPr>
                                      <w:rFonts w:hint="default" w:ascii="HGPｺﾞｼｯｸM" w:hAnsi="HGPｺﾞｼｯｸM" w:eastAsia="HGPｺﾞｼｯｸM"/>
                                      <w:color w:val="auto"/>
                                      <w:sz w:val="16"/>
                                    </w:rPr>
                                  </w:pPr>
                                  <w:r>
                                    <w:rPr>
                                      <w:rFonts w:hint="eastAsia" w:ascii="HGPｺﾞｼｯｸM" w:hAnsi="HGPｺﾞｼｯｸM" w:eastAsia="HGPｺﾞｼｯｸM"/>
                                      <w:color w:val="auto"/>
                                      <w:sz w:val="16"/>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42" w:hanging="242" w:hangingChars="100"/>
                                    <w:rPr>
                                      <w:rFonts w:hint="default" w:ascii="HGPｺﾞｼｯｸM" w:hAnsi="HGPｺﾞｼｯｸM" w:eastAsia="HGPｺﾞｼｯｸM"/>
                                      <w:color w:val="auto"/>
                                      <w:sz w:val="18"/>
                                    </w:rPr>
                                  </w:pPr>
                                  <w:r>
                                    <w:rPr>
                                      <w:rFonts w:hint="eastAsia" w:ascii="HGPｺﾞｼｯｸM" w:hAnsi="HGPｺﾞｼｯｸM" w:eastAsia="HGPｺﾞｼｯｸM"/>
                                      <w:color w:val="auto"/>
                                      <w:sz w:val="18"/>
                                    </w:rPr>
                                    <w:t>◎提出された工事費内訳書について、必要な工種・種別・細別等までの記載がない等の不備がある場合や、合計金額の誤り等で当該入札案件のものと特定できない場合には、無効となります。</w:t>
                                  </w:r>
                                </w:p>
                              </w:txbxContent>
                            </wps:txbx>
                            <wps:bodyPr vertOverflow="overflow" horzOverflow="overflow" wrap="square"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width:494.95pt;height:181.6pt;mso-position-horizontal-relative:text;position:absolute;margin-left:-32.75pt;margin-top:15.8pt;" o:spid="_x0000_s1027" o:allowincell="t" o:allowoverlap="t" filled="t" fillcolor="#ffffff" stroked="t" strokecolor="#000000" strokeweight="2pt" o:spt="202" type="#_x0000_t202">
                      <v:fill/>
                      <v:stroke dashstyle="shortdot" filltype="solid"/>
                      <v:textbox style="layout-flow:horizontal;">
                        <w:txbxContent>
                          <w:p>
                            <w:pPr>
                              <w:pStyle w:val="0"/>
                              <w:rPr>
                                <w:rFonts w:hint="default" w:ascii="HGPｺﾞｼｯｸM" w:hAnsi="HGPｺﾞｼｯｸM" w:eastAsia="HGPｺﾞｼｯｸM"/>
                                <w:color w:val="auto"/>
                                <w:sz w:val="20"/>
                              </w:rPr>
                            </w:pPr>
                            <w:r>
                              <w:rPr>
                                <w:rFonts w:hint="eastAsia" w:ascii="HGPｺﾞｼｯｸM" w:hAnsi="HGPｺﾞｼｯｸM" w:eastAsia="HGPｺﾞｼｯｸM"/>
                                <w:color w:val="auto"/>
                                <w:sz w:val="20"/>
                              </w:rPr>
                              <w:t>【留意事項】※内訳書として使用する際には、この枠内の記載及び枠は削除する。</w:t>
                            </w:r>
                          </w:p>
                          <w:p>
                            <w:pPr>
                              <w:pStyle w:val="0"/>
                              <w:spacing w:before="151" w:beforeLines="50" w:beforeAutospacing="0" w:after="151" w:afterLines="50" w:afterAutospacing="0"/>
                              <w:ind w:left="242" w:hanging="242" w:hangingChars="100"/>
                              <w:rPr>
                                <w:rFonts w:hint="default" w:ascii="HGPｺﾞｼｯｸM" w:hAnsi="HGPｺﾞｼｯｸM" w:eastAsia="HGPｺﾞｼｯｸM"/>
                                <w:color w:val="auto"/>
                                <w:sz w:val="18"/>
                              </w:rPr>
                            </w:pPr>
                            <w:r>
                              <w:rPr>
                                <w:rFonts w:hint="eastAsia" w:ascii="HGPｺﾞｼｯｸM" w:hAnsi="HGPｺﾞｼｯｸM" w:eastAsia="HGPｺﾞｼｯｸM"/>
                                <w:color w:val="auto"/>
                                <w:sz w:val="18"/>
                              </w:rPr>
                              <w:t>◎直接工事費については、設計書等に基づき、内訳項目の記載が必要な工種・種別・細別等の区分までの内訳を記載すること（下記備考を参照）。</w:t>
                            </w:r>
                          </w:p>
                          <w:p>
                            <w:pPr>
                              <w:pStyle w:val="0"/>
                              <w:spacing w:before="151" w:beforeLines="50" w:beforeAutospacing="0"/>
                              <w:ind w:left="242" w:hanging="242" w:hangingChars="100"/>
                              <w:rPr>
                                <w:rFonts w:hint="default" w:ascii="HGPｺﾞｼｯｸM" w:hAnsi="HGPｺﾞｼｯｸM" w:eastAsia="HGPｺﾞｼｯｸM"/>
                                <w:color w:val="auto"/>
                                <w:sz w:val="18"/>
                              </w:rPr>
                            </w:pPr>
                            <w:r>
                              <w:rPr>
                                <w:rFonts w:hint="eastAsia" w:ascii="HGPｺﾞｼｯｸM" w:hAnsi="HGPｺﾞｼｯｸM" w:eastAsia="HGPｺﾞｼｯｸM"/>
                                <w:color w:val="auto"/>
                                <w:sz w:val="18"/>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403" w:leftChars="200" w:right="202" w:rightChars="100" w:firstLine="202" w:firstLineChars="100"/>
                              <w:rPr>
                                <w:rFonts w:hint="default" w:ascii="HGPｺﾞｼｯｸM" w:hAnsi="HGPｺﾞｼｯｸM" w:eastAsia="HGPｺﾞｼｯｸM"/>
                                <w:color w:val="auto"/>
                                <w:sz w:val="16"/>
                              </w:rPr>
                            </w:pPr>
                            <w:r>
                              <w:rPr>
                                <w:rFonts w:hint="eastAsia" w:ascii="HGPｺﾞｼｯｸM" w:hAnsi="HGPｺﾞｼｯｸM" w:eastAsia="HGPｺﾞｼｯｸM"/>
                                <w:color w:val="auto"/>
                                <w:sz w:val="16"/>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42" w:hanging="242" w:hangingChars="100"/>
                              <w:rPr>
                                <w:rFonts w:hint="default" w:ascii="HGPｺﾞｼｯｸM" w:hAnsi="HGPｺﾞｼｯｸM" w:eastAsia="HGPｺﾞｼｯｸM"/>
                                <w:color w:val="auto"/>
                                <w:sz w:val="18"/>
                              </w:rPr>
                            </w:pPr>
                            <w:r>
                              <w:rPr>
                                <w:rFonts w:hint="eastAsia" w:ascii="HGPｺﾞｼｯｸM" w:hAnsi="HGPｺﾞｼｯｸM" w:eastAsia="HGPｺﾞｼｯｸM"/>
                                <w:color w:val="auto"/>
                                <w:sz w:val="18"/>
                              </w:rPr>
                              <w:t>◎提出された工事費内訳書について、必要な工種・種別・細別等までの記載がない等の不備がある場合や、合計金額の誤り等で当該入札案件のものと特定できない場合には、無効となります。</w:t>
                            </w:r>
                          </w:p>
                        </w:txbxContent>
                      </v:textbox>
                      <v:imagedata o:title=""/>
                      <w10:wrap type="none" anchorx="text" anchory="text"/>
                    </v:shape>
                  </w:pict>
                </mc:Fallback>
              </mc:AlternateContent>
            </w:r>
            <w:r>
              <w:rPr>
                <w:rFonts w:hint="eastAsia"/>
                <w:color w:val="auto"/>
              </w:rPr>
              <w:t>工　種　等</w:t>
            </w:r>
          </w:p>
        </w:tc>
        <w:tc>
          <w:tcPr>
            <w:tcW w:w="3726"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見　積　金　額（円）</w:t>
            </w:r>
          </w:p>
        </w:tc>
      </w:tr>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101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auto"/>
              </w:rPr>
            </w:pPr>
          </w:p>
        </w:tc>
      </w:tr>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206"/>
              <w:jc w:val="right"/>
              <w:rPr>
                <w:rFonts w:hint="default"/>
                <w:color w:val="auto"/>
              </w:rPr>
            </w:pPr>
            <w:r>
              <w:rPr>
                <w:rFonts w:hint="eastAsia"/>
                <w:color w:val="auto"/>
              </w:rPr>
              <w:t>直接工事費　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206"/>
              <w:jc w:val="right"/>
              <w:rPr>
                <w:rFonts w:hint="default"/>
                <w:color w:val="auto"/>
              </w:rPr>
            </w:pPr>
            <w:r>
              <w:rPr>
                <w:rFonts w:hint="eastAsia"/>
                <w:color w:val="auto"/>
              </w:rPr>
              <w:t>共通仮設費　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206"/>
              <w:jc w:val="right"/>
              <w:rPr>
                <w:rFonts w:hint="default"/>
                <w:color w:val="auto"/>
              </w:rPr>
            </w:pPr>
            <w:r>
              <w:rPr>
                <w:rFonts w:hint="eastAsia"/>
                <w:color w:val="auto"/>
              </w:rPr>
              <w:t>現場管理費　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206"/>
              <w:jc w:val="right"/>
              <w:rPr>
                <w:rFonts w:hint="default"/>
                <w:color w:val="auto"/>
              </w:rPr>
            </w:pPr>
            <w:r>
              <w:rPr>
                <w:rFonts w:hint="eastAsia"/>
                <w:color w:val="auto"/>
              </w:rPr>
              <w:t>一般管理費等　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sz w:val="10"/>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8"/>
              <w:autoSpaceDE w:val="0"/>
              <w:autoSpaceDN w:val="0"/>
              <w:ind w:left="227" w:right="-535" w:hanging="227"/>
              <w:rPr>
                <w:rFonts w:hint="default" w:ascii="Century" w:hAnsi="Century"/>
                <w:color w:val="auto"/>
                <w:spacing w:val="0"/>
              </w:rPr>
            </w:pPr>
            <w:r>
              <w:rPr>
                <w:rFonts w:hint="eastAsia"/>
                <w:color w:val="auto"/>
              </w:rPr>
              <w:t>合　　　計　※入札金額と一致すること</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bl>
    <w:p>
      <w:pPr>
        <w:pStyle w:val="0"/>
        <w:autoSpaceDE w:val="0"/>
        <w:autoSpaceDN w:val="0"/>
        <w:ind w:left="603" w:hanging="603" w:hangingChars="299"/>
        <w:rPr>
          <w:rFonts w:hint="default"/>
          <w:color w:val="auto"/>
          <w:kern w:val="0"/>
          <w:sz w:val="16"/>
        </w:rPr>
      </w:pPr>
    </w:p>
    <w:tbl>
      <w:tblPr>
        <w:tblStyle w:val="11"/>
        <w:tblW w:w="9081" w:type="dxa"/>
        <w:tblInd w:w="9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left w:w="99" w:type="dxa"/>
          <w:right w:w="99" w:type="dxa"/>
        </w:tblCellMar>
        <w:tblLook w:firstRow="0" w:lastRow="0" w:firstColumn="0" w:lastColumn="0" w:noHBand="1" w:noVBand="1" w:val="0600"/>
      </w:tblPr>
      <w:tblGrid>
        <w:gridCol w:w="5355"/>
        <w:gridCol w:w="315"/>
        <w:gridCol w:w="300"/>
        <w:gridCol w:w="300"/>
        <w:gridCol w:w="309"/>
        <w:gridCol w:w="312"/>
        <w:gridCol w:w="315"/>
        <w:gridCol w:w="312"/>
        <w:gridCol w:w="312"/>
        <w:gridCol w:w="312"/>
        <w:gridCol w:w="312"/>
        <w:gridCol w:w="315"/>
        <w:gridCol w:w="312"/>
      </w:tblGrid>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ascii="Century" w:hAnsi="Century"/>
                <w:color w:val="auto"/>
                <w:spacing w:val="0"/>
              </w:rPr>
            </w:pPr>
            <w:r>
              <w:rPr>
                <w:rFonts w:hint="eastAsia" w:ascii="Century" w:hAnsi="Century"/>
                <w:color w:val="auto"/>
                <w:spacing w:val="0"/>
              </w:rPr>
              <w:t>　直接工事費のうち材料費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auto"/>
              </w:rPr>
            </w:pPr>
            <w:r>
              <w:rPr>
                <w:rFonts w:hint="eastAsia"/>
                <w:color w:val="auto"/>
              </w:rPr>
              <w:t>　直接工事費のうち労務費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auto"/>
              </w:rPr>
            </w:pPr>
          </w:p>
        </w:tc>
      </w:tr>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auto"/>
              </w:rPr>
            </w:pPr>
            <w:r>
              <w:rPr>
                <w:rFonts w:hint="eastAsia"/>
                <w:color w:val="auto"/>
              </w:rPr>
              <w:t>　現場管理費のうち法定福利費の事業主負担額</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auto"/>
              </w:rPr>
            </w:pPr>
          </w:p>
        </w:tc>
      </w:tr>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auto"/>
              </w:rPr>
            </w:pPr>
            <w:r>
              <w:rPr>
                <w:rFonts w:hint="eastAsia"/>
                <w:color w:val="auto"/>
              </w:rPr>
              <w:t>　現場管理費のうち建退共制度の掛金</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auto"/>
              </w:rPr>
            </w:pPr>
          </w:p>
        </w:tc>
      </w:tr>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auto"/>
              </w:rPr>
            </w:pPr>
            <w:r>
              <w:rPr>
                <w:rFonts w:hint="eastAsia"/>
                <w:color w:val="auto"/>
              </w:rPr>
              <w:t>　工事原価のうち安全衛生経費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auto"/>
              </w:rPr>
            </w:pPr>
          </w:p>
        </w:tc>
      </w:tr>
    </w:tbl>
    <w:p>
      <w:pPr>
        <w:pStyle w:val="0"/>
        <w:autoSpaceDE w:val="0"/>
        <w:autoSpaceDN w:val="0"/>
        <w:ind w:left="603" w:hanging="603" w:hangingChars="299"/>
        <w:rPr>
          <w:rFonts w:hint="default"/>
          <w:color w:val="auto"/>
          <w:kern w:val="0"/>
          <w:sz w:val="16"/>
        </w:rPr>
      </w:pPr>
      <w:r>
        <w:rPr>
          <w:rFonts w:hint="eastAsia"/>
          <w:color w:val="auto"/>
          <w:sz w:val="18"/>
        </w:rPr>
        <w:t>備考１</w:t>
      </w:r>
      <w:r>
        <w:rPr>
          <w:rFonts w:hint="eastAsia"/>
          <w:color w:val="auto"/>
          <w:sz w:val="16"/>
        </w:rPr>
        <w:t>　工種等には、土木工事標準積算基準（建築工事の場合は公共建築工事内訳書標準書式に示される種目別内訳・科目別内訳）及び公表された設計書等に基づき「直接工事費」、「共通仮設費」、「現場管理費」及び「一般管理費」等と、以下の区分による</w:t>
      </w:r>
      <w:r>
        <w:rPr>
          <w:rFonts w:hint="eastAsia"/>
          <w:color w:val="auto"/>
          <w:kern w:val="0"/>
          <w:sz w:val="16"/>
        </w:rPr>
        <w:t>工種・種別・細別（建築工事にあっては、種目・科目）の内訳を記載すること。</w:t>
      </w:r>
    </w:p>
    <w:tbl>
      <w:tblPr>
        <w:tblStyle w:val="11"/>
        <w:tblW w:w="8535" w:type="dxa"/>
        <w:tblInd w:w="8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Look w:firstRow="1" w:lastRow="0" w:firstColumn="1" w:lastColumn="0" w:noHBand="0" w:noVBand="1" w:val="04A0"/>
      </w:tblPr>
      <w:tblGrid>
        <w:gridCol w:w="2845"/>
        <w:gridCol w:w="2845"/>
        <w:gridCol w:w="2845"/>
      </w:tblGrid>
      <w:tr>
        <w:trPr>
          <w:trHeight w:val="127" w:hRule="atLeast"/>
        </w:trPr>
        <w:tc>
          <w:tcPr>
            <w:tcW w:w="284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center"/>
              <w:rPr>
                <w:rFonts w:hint="default"/>
                <w:color w:val="auto"/>
                <w:sz w:val="16"/>
              </w:rPr>
            </w:pPr>
            <w:r>
              <w:rPr>
                <w:rFonts w:hint="eastAsia"/>
                <w:color w:val="auto"/>
                <w:sz w:val="16"/>
              </w:rPr>
              <w:t>入札金額</w:t>
            </w:r>
          </w:p>
        </w:tc>
        <w:tc>
          <w:tcPr>
            <w:tcW w:w="284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center"/>
              <w:rPr>
                <w:rFonts w:hint="default"/>
                <w:color w:val="auto"/>
                <w:sz w:val="16"/>
              </w:rPr>
            </w:pPr>
            <w:r>
              <w:rPr>
                <w:rFonts w:hint="eastAsia"/>
                <w:color w:val="auto"/>
                <w:sz w:val="16"/>
              </w:rPr>
              <w:t>建築工事以外</w:t>
            </w:r>
          </w:p>
        </w:tc>
        <w:tc>
          <w:tcPr>
            <w:tcW w:w="284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center"/>
              <w:rPr>
                <w:rFonts w:hint="default"/>
                <w:color w:val="auto"/>
                <w:sz w:val="16"/>
              </w:rPr>
            </w:pPr>
            <w:r>
              <w:rPr>
                <w:rFonts w:hint="eastAsia"/>
                <w:color w:val="auto"/>
                <w:sz w:val="16"/>
              </w:rPr>
              <w:t>建築工事</w:t>
            </w:r>
          </w:p>
        </w:tc>
      </w:tr>
      <w:tr>
        <w:trPr>
          <w:trHeight w:val="651" w:hRule="atLeast"/>
        </w:trPr>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rPr>
                <w:rFonts w:hint="default"/>
                <w:color w:val="auto"/>
                <w:sz w:val="16"/>
              </w:rPr>
            </w:pPr>
            <w:r>
              <w:rPr>
                <w:rFonts w:hint="eastAsia"/>
                <w:color w:val="auto"/>
                <w:sz w:val="16"/>
              </w:rPr>
              <w:t>2,500</w:t>
            </w:r>
            <w:r>
              <w:rPr>
                <w:rFonts w:hint="eastAsia"/>
                <w:color w:val="auto"/>
                <w:sz w:val="16"/>
              </w:rPr>
              <w:t>万円以上</w:t>
            </w:r>
          </w:p>
          <w:p>
            <w:pPr>
              <w:pStyle w:val="0"/>
              <w:snapToGrid w:val="0"/>
              <w:rPr>
                <w:rFonts w:hint="default"/>
                <w:color w:val="auto"/>
                <w:sz w:val="16"/>
              </w:rPr>
            </w:pPr>
            <w:r>
              <w:rPr>
                <w:rFonts w:hint="eastAsia"/>
                <w:color w:val="auto"/>
                <w:sz w:val="16"/>
              </w:rPr>
              <w:t>500</w:t>
            </w:r>
            <w:r>
              <w:rPr>
                <w:rFonts w:hint="eastAsia"/>
                <w:color w:val="auto"/>
                <w:sz w:val="16"/>
              </w:rPr>
              <w:t>万円以上</w:t>
            </w:r>
            <w:r>
              <w:rPr>
                <w:rFonts w:hint="eastAsia"/>
                <w:color w:val="auto"/>
                <w:sz w:val="16"/>
              </w:rPr>
              <w:t>2,500</w:t>
            </w:r>
            <w:r>
              <w:rPr>
                <w:rFonts w:hint="eastAsia"/>
                <w:color w:val="auto"/>
                <w:sz w:val="16"/>
              </w:rPr>
              <w:t>万円未満</w:t>
            </w:r>
          </w:p>
          <w:p>
            <w:pPr>
              <w:pStyle w:val="0"/>
              <w:snapToGrid w:val="0"/>
              <w:rPr>
                <w:rFonts w:hint="default"/>
                <w:color w:val="auto"/>
                <w:sz w:val="16"/>
              </w:rPr>
            </w:pPr>
            <w:r>
              <w:rPr>
                <w:rFonts w:hint="eastAsia"/>
                <w:color w:val="auto"/>
                <w:sz w:val="16"/>
              </w:rPr>
              <w:t>500</w:t>
            </w:r>
            <w:r>
              <w:rPr>
                <w:rFonts w:hint="eastAsia"/>
                <w:color w:val="auto"/>
                <w:sz w:val="16"/>
              </w:rPr>
              <w:t>万円未満</w:t>
            </w:r>
          </w:p>
        </w:tc>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rPr>
                <w:rFonts w:hint="default"/>
                <w:color w:val="auto"/>
                <w:sz w:val="16"/>
              </w:rPr>
            </w:pPr>
            <w:r>
              <w:rPr>
                <w:rFonts w:hint="eastAsia"/>
                <w:color w:val="auto"/>
                <w:sz w:val="16"/>
              </w:rPr>
              <w:t>工種・種別・細別</w:t>
            </w:r>
          </w:p>
          <w:p>
            <w:pPr>
              <w:pStyle w:val="0"/>
              <w:snapToGrid w:val="0"/>
              <w:rPr>
                <w:rFonts w:hint="default"/>
                <w:color w:val="auto"/>
                <w:sz w:val="16"/>
              </w:rPr>
            </w:pPr>
            <w:r>
              <w:rPr>
                <w:rFonts w:hint="eastAsia"/>
                <w:color w:val="auto"/>
                <w:sz w:val="16"/>
              </w:rPr>
              <w:t>工種・種別</w:t>
            </w:r>
          </w:p>
          <w:p>
            <w:pPr>
              <w:pStyle w:val="0"/>
              <w:snapToGrid w:val="0"/>
              <w:rPr>
                <w:rFonts w:hint="default"/>
                <w:color w:val="auto"/>
                <w:sz w:val="16"/>
              </w:rPr>
            </w:pPr>
            <w:r>
              <w:rPr>
                <w:rFonts w:hint="eastAsia"/>
                <w:color w:val="auto"/>
                <w:sz w:val="16"/>
              </w:rPr>
              <w:t>工種</w:t>
            </w:r>
          </w:p>
        </w:tc>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rPr>
                <w:rFonts w:hint="default"/>
                <w:color w:val="auto"/>
                <w:sz w:val="16"/>
              </w:rPr>
            </w:pPr>
            <w:r>
              <w:rPr>
                <w:rFonts w:hint="eastAsia"/>
                <w:color w:val="auto"/>
                <w:sz w:val="16"/>
              </w:rPr>
              <w:t>種目・科目</w:t>
            </w:r>
          </w:p>
          <w:p>
            <w:pPr>
              <w:pStyle w:val="0"/>
              <w:snapToGrid w:val="0"/>
              <w:rPr>
                <w:rFonts w:hint="default"/>
                <w:color w:val="auto"/>
                <w:sz w:val="16"/>
              </w:rPr>
            </w:pPr>
            <w:r>
              <w:rPr>
                <w:rFonts w:hint="eastAsia"/>
                <w:color w:val="auto"/>
                <w:sz w:val="16"/>
              </w:rPr>
              <w:t>種目・科目</w:t>
            </w:r>
          </w:p>
          <w:p>
            <w:pPr>
              <w:pStyle w:val="0"/>
              <w:snapToGrid w:val="0"/>
              <w:rPr>
                <w:rFonts w:hint="default"/>
                <w:color w:val="auto"/>
                <w:sz w:val="16"/>
              </w:rPr>
            </w:pPr>
            <w:r>
              <w:rPr>
                <w:rFonts w:hint="eastAsia"/>
                <w:color w:val="auto"/>
                <w:sz w:val="16"/>
              </w:rPr>
              <w:t>種目</w:t>
            </w:r>
          </w:p>
        </w:tc>
      </w:tr>
    </w:tbl>
    <w:p>
      <w:pPr>
        <w:pStyle w:val="0"/>
        <w:autoSpaceDE w:val="0"/>
        <w:autoSpaceDN w:val="0"/>
        <w:ind w:left="601" w:leftChars="200" w:hanging="198" w:hangingChars="98"/>
        <w:rPr>
          <w:rFonts w:hint="eastAsia" w:eastAsia="ＭＳ ゴシック"/>
          <w:color w:val="auto"/>
          <w:sz w:val="18"/>
        </w:rPr>
      </w:pPr>
      <w:r>
        <w:rPr>
          <w:rFonts w:hint="eastAsia"/>
          <w:color w:val="auto"/>
          <w:sz w:val="18"/>
        </w:rPr>
        <w:t>２</w:t>
      </w:r>
      <w:r>
        <w:rPr>
          <w:rFonts w:hint="eastAsia"/>
          <w:color w:val="auto"/>
          <w:sz w:val="16"/>
        </w:rPr>
        <w:t>　見積金額はすべて税抜金額とし、合計は入札書記載金額と一致すること。</w:t>
      </w:r>
      <w:r>
        <w:rPr>
          <w:rFonts w:hint="eastAsia"/>
          <w:color w:val="auto"/>
          <w:sz w:val="18"/>
        </w:rPr>
        <w:br w:type="page"/>
      </w:r>
    </w:p>
    <w:p>
      <w:pPr>
        <w:pStyle w:val="0"/>
        <w:rPr>
          <w:rFonts w:hint="eastAsia" w:eastAsia="ＭＳ ゴシック"/>
          <w:color w:val="auto"/>
          <w:sz w:val="21"/>
        </w:rPr>
      </w:pPr>
      <w:r>
        <w:rPr>
          <w:rFonts w:hint="eastAsia" w:eastAsia="ＭＳ ゴシック"/>
          <w:color w:val="auto"/>
          <w:sz w:val="21"/>
        </w:rPr>
        <w:t>第４号様式</w:t>
      </w:r>
    </w:p>
    <w:p>
      <w:pPr>
        <w:pStyle w:val="0"/>
        <w:rPr>
          <w:rFonts w:hint="eastAsia"/>
          <w:color w:val="auto"/>
        </w:rPr>
      </w:pPr>
    </w:p>
    <w:p>
      <w:pPr>
        <w:pStyle w:val="0"/>
        <w:jc w:val="center"/>
        <w:rPr>
          <w:rFonts w:hint="eastAsia"/>
          <w:color w:val="auto"/>
          <w:sz w:val="40"/>
        </w:rPr>
      </w:pPr>
      <w:r>
        <w:rPr>
          <w:rFonts w:hint="eastAsia"/>
          <w:color w:val="auto"/>
          <w:sz w:val="40"/>
        </w:rPr>
        <w:t>入</w:t>
      </w:r>
      <w:r>
        <w:rPr>
          <w:rFonts w:hint="eastAsia"/>
          <w:color w:val="auto"/>
          <w:sz w:val="40"/>
        </w:rPr>
        <w:t xml:space="preserve"> </w:t>
      </w:r>
      <w:r>
        <w:rPr>
          <w:rFonts w:hint="eastAsia"/>
          <w:color w:val="auto"/>
          <w:sz w:val="40"/>
        </w:rPr>
        <w:t>札</w:t>
      </w:r>
      <w:r>
        <w:rPr>
          <w:rFonts w:hint="eastAsia"/>
          <w:color w:val="auto"/>
          <w:sz w:val="40"/>
        </w:rPr>
        <w:t xml:space="preserve"> </w:t>
      </w:r>
      <w:r>
        <w:rPr>
          <w:rFonts w:hint="eastAsia"/>
          <w:color w:val="auto"/>
          <w:sz w:val="40"/>
        </w:rPr>
        <w:t>辞</w:t>
      </w:r>
      <w:r>
        <w:rPr>
          <w:rFonts w:hint="eastAsia"/>
          <w:color w:val="auto"/>
          <w:sz w:val="40"/>
        </w:rPr>
        <w:t xml:space="preserve"> </w:t>
      </w:r>
      <w:r>
        <w:rPr>
          <w:rFonts w:hint="eastAsia"/>
          <w:color w:val="auto"/>
          <w:sz w:val="40"/>
        </w:rPr>
        <w:t>退</w:t>
      </w:r>
      <w:r>
        <w:rPr>
          <w:rFonts w:hint="eastAsia"/>
          <w:color w:val="auto"/>
          <w:sz w:val="40"/>
        </w:rPr>
        <w:t xml:space="preserve"> </w:t>
      </w:r>
      <w:r>
        <w:rPr>
          <w:rFonts w:hint="eastAsia"/>
          <w:color w:val="auto"/>
          <w:sz w:val="40"/>
        </w:rPr>
        <w:t>届</w:t>
      </w:r>
    </w:p>
    <w:p>
      <w:pPr>
        <w:pStyle w:val="0"/>
        <w:rPr>
          <w:rFonts w:hint="eastAsia"/>
          <w:color w:val="auto"/>
        </w:rPr>
      </w:pPr>
    </w:p>
    <w:p>
      <w:pPr>
        <w:pStyle w:val="0"/>
        <w:rPr>
          <w:rFonts w:hint="eastAsia"/>
          <w:color w:val="auto"/>
        </w:rPr>
      </w:pPr>
    </w:p>
    <w:p>
      <w:pPr>
        <w:pStyle w:val="0"/>
        <w:rPr>
          <w:rFonts w:hint="eastAsia"/>
          <w:color w:val="auto"/>
        </w:rPr>
      </w:pPr>
    </w:p>
    <w:p>
      <w:pPr>
        <w:pStyle w:val="0"/>
        <w:rPr>
          <w:rFonts w:hint="eastAsia"/>
          <w:color w:val="auto"/>
        </w:rPr>
      </w:pPr>
    </w:p>
    <w:p>
      <w:pPr>
        <w:pStyle w:val="0"/>
        <w:rPr>
          <w:rFonts w:hint="eastAsia"/>
          <w:color w:val="auto"/>
          <w:sz w:val="21"/>
        </w:rPr>
      </w:pPr>
      <w:r>
        <w:rPr>
          <w:rFonts w:hint="eastAsia"/>
          <w:color w:val="auto"/>
          <w:sz w:val="21"/>
        </w:rPr>
        <w:t>件　　名</w:t>
      </w:r>
    </w:p>
    <w:p>
      <w:pPr>
        <w:pStyle w:val="0"/>
        <w:rPr>
          <w:rFonts w:hint="eastAsia"/>
          <w:color w:val="auto"/>
          <w:sz w:val="21"/>
        </w:rPr>
      </w:pPr>
    </w:p>
    <w:p>
      <w:pPr>
        <w:pStyle w:val="0"/>
        <w:rPr>
          <w:rFonts w:hint="eastAsia"/>
          <w:color w:val="auto"/>
          <w:sz w:val="21"/>
        </w:rPr>
      </w:pPr>
    </w:p>
    <w:p>
      <w:pPr>
        <w:pStyle w:val="0"/>
        <w:rPr>
          <w:rFonts w:hint="eastAsia"/>
          <w:color w:val="auto"/>
          <w:sz w:val="21"/>
        </w:rPr>
      </w:pPr>
    </w:p>
    <w:p>
      <w:pPr>
        <w:pStyle w:val="0"/>
        <w:rPr>
          <w:rFonts w:hint="eastAsia"/>
          <w:color w:val="auto"/>
          <w:sz w:val="21"/>
        </w:rPr>
      </w:pPr>
    </w:p>
    <w:p>
      <w:pPr>
        <w:pStyle w:val="0"/>
        <w:rPr>
          <w:rFonts w:hint="eastAsia"/>
          <w:color w:val="auto"/>
          <w:sz w:val="21"/>
        </w:rPr>
      </w:pPr>
      <w:r>
        <w:rPr>
          <w:rFonts w:hint="eastAsia"/>
          <w:color w:val="auto"/>
          <w:sz w:val="21"/>
        </w:rPr>
        <w:t>　上記について、都合により入札を辞退します。</w:t>
      </w:r>
    </w:p>
    <w:p>
      <w:pPr>
        <w:pStyle w:val="0"/>
        <w:rPr>
          <w:rFonts w:hint="eastAsia"/>
          <w:color w:val="auto"/>
          <w:sz w:val="21"/>
        </w:rPr>
      </w:pPr>
    </w:p>
    <w:p>
      <w:pPr>
        <w:pStyle w:val="0"/>
        <w:rPr>
          <w:rFonts w:hint="eastAsia"/>
          <w:color w:val="auto"/>
          <w:sz w:val="21"/>
        </w:rPr>
      </w:pPr>
    </w:p>
    <w:p>
      <w:pPr>
        <w:pStyle w:val="0"/>
        <w:rPr>
          <w:rFonts w:hint="eastAsia"/>
          <w:color w:val="auto"/>
          <w:sz w:val="21"/>
        </w:rPr>
      </w:pPr>
    </w:p>
    <w:p>
      <w:pPr>
        <w:pStyle w:val="0"/>
        <w:rPr>
          <w:rFonts w:hint="eastAsia"/>
          <w:color w:val="auto"/>
          <w:sz w:val="21"/>
        </w:rPr>
      </w:pPr>
    </w:p>
    <w:p>
      <w:pPr>
        <w:pStyle w:val="0"/>
        <w:rPr>
          <w:rFonts w:hint="eastAsia"/>
          <w:color w:val="auto"/>
          <w:sz w:val="21"/>
        </w:rPr>
      </w:pPr>
      <w:r>
        <w:rPr>
          <w:rFonts w:hint="eastAsia"/>
          <w:color w:val="auto"/>
          <w:sz w:val="21"/>
        </w:rPr>
        <w:t>　　令和　　年　　月　　日</w:t>
      </w:r>
    </w:p>
    <w:p>
      <w:pPr>
        <w:pStyle w:val="0"/>
        <w:rPr>
          <w:rFonts w:hint="eastAsia"/>
          <w:color w:val="auto"/>
          <w:sz w:val="21"/>
        </w:rPr>
      </w:pPr>
    </w:p>
    <w:p>
      <w:pPr>
        <w:pStyle w:val="0"/>
        <w:rPr>
          <w:rFonts w:hint="eastAsia"/>
          <w:color w:val="auto"/>
          <w:sz w:val="21"/>
        </w:rPr>
      </w:pPr>
    </w:p>
    <w:p>
      <w:pPr>
        <w:pStyle w:val="0"/>
        <w:rPr>
          <w:rFonts w:hint="eastAsia"/>
          <w:color w:val="auto"/>
          <w:sz w:val="21"/>
        </w:rPr>
      </w:pPr>
    </w:p>
    <w:p>
      <w:pPr>
        <w:pStyle w:val="0"/>
        <w:rPr>
          <w:rFonts w:hint="eastAsia"/>
          <w:color w:val="auto"/>
          <w:sz w:val="21"/>
        </w:rPr>
      </w:pPr>
    </w:p>
    <w:p>
      <w:pPr>
        <w:pStyle w:val="0"/>
        <w:ind w:firstLine="232" w:firstLineChars="100"/>
        <w:rPr>
          <w:rFonts w:hint="eastAsia"/>
          <w:color w:val="auto"/>
          <w:sz w:val="21"/>
        </w:rPr>
      </w:pPr>
      <w:r>
        <w:rPr>
          <w:rFonts w:hint="eastAsia"/>
          <w:color w:val="auto"/>
          <w:sz w:val="21"/>
        </w:rPr>
        <w:t>津野町長　　　　　　　　　　　様</w:t>
      </w:r>
    </w:p>
    <w:p>
      <w:pPr>
        <w:pStyle w:val="0"/>
        <w:rPr>
          <w:rFonts w:hint="eastAsia"/>
          <w:color w:val="auto"/>
          <w:sz w:val="21"/>
        </w:rPr>
      </w:pPr>
    </w:p>
    <w:p>
      <w:pPr>
        <w:pStyle w:val="0"/>
        <w:rPr>
          <w:rFonts w:hint="eastAsia"/>
          <w:color w:val="auto"/>
          <w:sz w:val="21"/>
        </w:rPr>
      </w:pPr>
    </w:p>
    <w:p>
      <w:pPr>
        <w:pStyle w:val="0"/>
        <w:rPr>
          <w:rFonts w:hint="eastAsia"/>
          <w:color w:val="auto"/>
          <w:sz w:val="21"/>
        </w:rPr>
      </w:pPr>
    </w:p>
    <w:p>
      <w:pPr>
        <w:pStyle w:val="0"/>
        <w:rPr>
          <w:rFonts w:hint="eastAsia"/>
          <w:color w:val="auto"/>
          <w:sz w:val="21"/>
        </w:rPr>
      </w:pPr>
    </w:p>
    <w:p>
      <w:pPr>
        <w:pStyle w:val="0"/>
        <w:ind w:firstLine="4085" w:firstLineChars="1764"/>
        <w:rPr>
          <w:rFonts w:hint="eastAsia"/>
          <w:color w:val="auto"/>
          <w:sz w:val="21"/>
        </w:rPr>
      </w:pPr>
      <w:r>
        <w:rPr>
          <w:rFonts w:hint="eastAsia"/>
          <w:color w:val="auto"/>
          <w:sz w:val="21"/>
        </w:rPr>
        <w:t>住　所</w:t>
      </w:r>
    </w:p>
    <w:p>
      <w:pPr>
        <w:pStyle w:val="0"/>
        <w:rPr>
          <w:rFonts w:hint="eastAsia"/>
          <w:color w:val="auto"/>
          <w:sz w:val="21"/>
        </w:rPr>
      </w:pPr>
    </w:p>
    <w:p>
      <w:pPr>
        <w:pStyle w:val="0"/>
        <w:ind w:firstLine="4085" w:firstLineChars="1764"/>
        <w:rPr>
          <w:rFonts w:hint="eastAsia"/>
          <w:color w:val="auto"/>
          <w:sz w:val="21"/>
        </w:rPr>
      </w:pPr>
      <w:r>
        <w:rPr>
          <w:rFonts w:hint="eastAsia"/>
          <w:color w:val="auto"/>
          <w:sz w:val="21"/>
        </w:rPr>
        <w:t>氏　名　　　　　　　　　　　　　　　　印</w:t>
      </w:r>
    </w:p>
    <w:p>
      <w:pPr>
        <w:pStyle w:val="0"/>
        <w:rPr>
          <w:rFonts w:hint="eastAsia"/>
          <w:color w:val="auto"/>
          <w:sz w:val="21"/>
        </w:rPr>
      </w:pPr>
    </w:p>
    <w:p>
      <w:pPr>
        <w:pStyle w:val="0"/>
        <w:rPr>
          <w:rFonts w:hint="eastAsia"/>
          <w:color w:val="auto"/>
          <w:sz w:val="21"/>
        </w:rPr>
      </w:pPr>
    </w:p>
    <w:p>
      <w:pPr>
        <w:pStyle w:val="0"/>
        <w:rPr>
          <w:rFonts w:hint="eastAsia"/>
          <w:color w:val="auto"/>
          <w:sz w:val="21"/>
        </w:rPr>
      </w:pPr>
    </w:p>
    <w:p>
      <w:pPr>
        <w:pStyle w:val="0"/>
        <w:rPr>
          <w:rFonts w:hint="eastAsia"/>
          <w:color w:val="auto"/>
          <w:sz w:val="21"/>
        </w:rPr>
      </w:pPr>
    </w:p>
    <w:p>
      <w:pPr>
        <w:pStyle w:val="0"/>
        <w:rPr>
          <w:rFonts w:hint="eastAsia"/>
          <w:color w:val="auto"/>
          <w:sz w:val="21"/>
        </w:rPr>
      </w:pPr>
    </w:p>
    <w:p>
      <w:pPr>
        <w:pStyle w:val="0"/>
        <w:rPr>
          <w:rFonts w:hint="eastAsia"/>
          <w:color w:val="auto"/>
          <w:sz w:val="21"/>
        </w:rPr>
      </w:pPr>
    </w:p>
    <w:p>
      <w:pPr>
        <w:pStyle w:val="0"/>
        <w:rPr>
          <w:rFonts w:hint="eastAsia"/>
          <w:color w:val="auto"/>
          <w:sz w:val="21"/>
        </w:rPr>
      </w:pPr>
    </w:p>
    <w:p>
      <w:pPr>
        <w:pStyle w:val="0"/>
        <w:rPr>
          <w:rFonts w:hint="eastAsia"/>
          <w:color w:val="auto"/>
          <w:sz w:val="21"/>
        </w:rPr>
      </w:pPr>
    </w:p>
    <w:p>
      <w:pPr>
        <w:pStyle w:val="0"/>
        <w:ind w:left="692" w:hanging="692" w:hangingChars="299"/>
        <w:rPr>
          <w:rFonts w:hint="eastAsia"/>
          <w:color w:val="auto"/>
          <w:sz w:val="21"/>
        </w:rPr>
      </w:pPr>
      <w:r>
        <w:rPr>
          <w:rFonts w:hint="eastAsia"/>
          <w:color w:val="auto"/>
          <w:sz w:val="21"/>
        </w:rPr>
        <w:t>備考１　「件名」には工事（業務）名及び工事（業務）番号を記入すること。</w:t>
      </w:r>
    </w:p>
    <w:p>
      <w:pPr>
        <w:pStyle w:val="0"/>
        <w:ind w:left="0" w:leftChars="0" w:firstLine="420" w:firstLineChars="200"/>
        <w:rPr>
          <w:rFonts w:hint="eastAsia"/>
          <w:color w:val="auto"/>
          <w:sz w:val="21"/>
        </w:rPr>
      </w:pPr>
      <w:r>
        <w:rPr>
          <w:rFonts w:hint="eastAsia"/>
          <w:color w:val="auto"/>
          <w:sz w:val="21"/>
        </w:rPr>
        <w:t>２　法人の場合にあっては、住所及び氏名は、所在地、商号又は名称及び代表者の職名を記入</w:t>
      </w:r>
    </w:p>
    <w:p>
      <w:pPr>
        <w:pStyle w:val="0"/>
        <w:ind w:left="0" w:leftChars="0" w:firstLine="630" w:firstLineChars="300"/>
        <w:rPr>
          <w:rFonts w:hint="eastAsia"/>
          <w:color w:val="auto"/>
          <w:sz w:val="21"/>
        </w:rPr>
      </w:pPr>
      <w:r>
        <w:rPr>
          <w:rFonts w:hint="eastAsia"/>
          <w:color w:val="auto"/>
          <w:sz w:val="21"/>
        </w:rPr>
        <w:t>すること。</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color w:val="auto"/>
        </w:rPr>
        <w:br w:type="page"/>
      </w:r>
    </w:p>
    <w:p>
      <w:pPr>
        <w:pStyle w:val="0"/>
        <w:rPr>
          <w:rFonts w:hint="eastAsia" w:eastAsia="ＭＳ ゴシック"/>
          <w:color w:val="auto"/>
          <w:sz w:val="21"/>
        </w:rPr>
      </w:pPr>
      <w:r>
        <w:rPr>
          <w:rFonts w:hint="eastAsia" w:eastAsia="ＭＳ ゴシック"/>
          <w:color w:val="auto"/>
          <w:sz w:val="21"/>
        </w:rPr>
        <w:t>第５号様式</w:t>
      </w:r>
    </w:p>
    <w:p>
      <w:pPr>
        <w:pStyle w:val="0"/>
        <w:rPr>
          <w:rFonts w:hint="eastAsia"/>
          <w:color w:val="auto"/>
          <w:sz w:val="21"/>
        </w:rPr>
      </w:pPr>
    </w:p>
    <w:p>
      <w:pPr>
        <w:pStyle w:val="0"/>
        <w:jc w:val="right"/>
        <w:rPr>
          <w:rFonts w:hint="eastAsia"/>
          <w:color w:val="auto"/>
          <w:sz w:val="21"/>
        </w:rPr>
      </w:pPr>
      <w:r>
        <w:rPr>
          <w:rFonts w:hint="eastAsia"/>
          <w:color w:val="auto"/>
          <w:sz w:val="21"/>
        </w:rPr>
        <w:t>令和　　年　　月　　日</w:t>
      </w:r>
    </w:p>
    <w:p>
      <w:pPr>
        <w:pStyle w:val="0"/>
        <w:rPr>
          <w:rFonts w:hint="eastAsia"/>
          <w:color w:val="auto"/>
          <w:sz w:val="21"/>
        </w:rPr>
      </w:pPr>
    </w:p>
    <w:p>
      <w:pPr>
        <w:pStyle w:val="17"/>
        <w:tabs>
          <w:tab w:val="clear" w:pos="4252"/>
          <w:tab w:val="clear" w:pos="8504"/>
        </w:tabs>
        <w:snapToGrid w:val="1"/>
        <w:rPr>
          <w:rFonts w:hint="eastAsia"/>
          <w:color w:val="auto"/>
          <w:sz w:val="21"/>
        </w:rPr>
      </w:pPr>
    </w:p>
    <w:p>
      <w:pPr>
        <w:pStyle w:val="0"/>
        <w:rPr>
          <w:rFonts w:hint="eastAsia"/>
          <w:color w:val="auto"/>
          <w:sz w:val="21"/>
        </w:rPr>
      </w:pPr>
      <w:r>
        <w:rPr>
          <w:rFonts w:hint="eastAsia"/>
          <w:color w:val="auto"/>
          <w:sz w:val="21"/>
        </w:rPr>
        <w:t>　津野町長　　　　　　　　　　　様</w:t>
      </w:r>
    </w:p>
    <w:p>
      <w:pPr>
        <w:pStyle w:val="0"/>
        <w:rPr>
          <w:rFonts w:hint="eastAsia"/>
          <w:color w:val="auto"/>
          <w:sz w:val="21"/>
        </w:rPr>
      </w:pPr>
    </w:p>
    <w:p>
      <w:pPr>
        <w:pStyle w:val="0"/>
        <w:rPr>
          <w:rFonts w:hint="eastAsia"/>
          <w:color w:val="auto"/>
          <w:sz w:val="21"/>
        </w:rPr>
      </w:pPr>
    </w:p>
    <w:p>
      <w:pPr>
        <w:pStyle w:val="0"/>
        <w:rPr>
          <w:rFonts w:hint="eastAsia"/>
          <w:color w:val="auto"/>
          <w:sz w:val="21"/>
        </w:rPr>
      </w:pPr>
    </w:p>
    <w:p>
      <w:pPr>
        <w:pStyle w:val="0"/>
        <w:ind w:firstLine="4562" w:firstLineChars="1970"/>
        <w:rPr>
          <w:rFonts w:hint="eastAsia"/>
          <w:color w:val="auto"/>
          <w:sz w:val="21"/>
        </w:rPr>
      </w:pPr>
      <w:r>
        <w:rPr>
          <w:rFonts w:hint="eastAsia"/>
          <w:color w:val="auto"/>
          <w:sz w:val="21"/>
        </w:rPr>
        <w:t>住　所</w:t>
      </w:r>
    </w:p>
    <w:p>
      <w:pPr>
        <w:pStyle w:val="0"/>
        <w:rPr>
          <w:rFonts w:hint="eastAsia"/>
          <w:color w:val="auto"/>
          <w:sz w:val="21"/>
        </w:rPr>
      </w:pPr>
    </w:p>
    <w:p>
      <w:pPr>
        <w:pStyle w:val="0"/>
        <w:ind w:firstLine="4562" w:firstLineChars="1970"/>
        <w:rPr>
          <w:rFonts w:hint="eastAsia"/>
          <w:color w:val="auto"/>
          <w:sz w:val="21"/>
        </w:rPr>
      </w:pPr>
      <w:r>
        <w:rPr>
          <w:rFonts w:hint="eastAsia"/>
          <w:color w:val="auto"/>
          <w:sz w:val="21"/>
        </w:rPr>
        <w:t>氏　名　　　　　　　　　　　　　　　印</w:t>
      </w:r>
    </w:p>
    <w:p>
      <w:pPr>
        <w:pStyle w:val="0"/>
        <w:rPr>
          <w:rFonts w:hint="eastAsia"/>
          <w:color w:val="auto"/>
          <w:sz w:val="21"/>
        </w:rPr>
      </w:pPr>
    </w:p>
    <w:p>
      <w:pPr>
        <w:pStyle w:val="0"/>
        <w:rPr>
          <w:rFonts w:hint="eastAsia"/>
          <w:color w:val="auto"/>
          <w:sz w:val="21"/>
        </w:rPr>
      </w:pPr>
    </w:p>
    <w:p>
      <w:pPr>
        <w:pStyle w:val="0"/>
        <w:rPr>
          <w:rFonts w:hint="eastAsia"/>
          <w:color w:val="auto"/>
          <w:sz w:val="21"/>
        </w:rPr>
      </w:pPr>
    </w:p>
    <w:p>
      <w:pPr>
        <w:pStyle w:val="0"/>
        <w:jc w:val="center"/>
        <w:rPr>
          <w:rFonts w:hint="eastAsia"/>
          <w:color w:val="auto"/>
          <w:sz w:val="36"/>
          <w:u w:val="dotted" w:color="auto"/>
        </w:rPr>
      </w:pPr>
      <w:r>
        <w:rPr>
          <w:rFonts w:hint="eastAsia"/>
          <w:color w:val="auto"/>
          <w:sz w:val="36"/>
          <w:u w:val="none" w:color="auto"/>
        </w:rPr>
        <w:t>免</w:t>
      </w:r>
      <w:r>
        <w:rPr>
          <w:rFonts w:hint="eastAsia"/>
          <w:color w:val="auto"/>
          <w:sz w:val="36"/>
          <w:u w:val="none" w:color="auto"/>
        </w:rPr>
        <w:t xml:space="preserve"> </w:t>
      </w:r>
      <w:r>
        <w:rPr>
          <w:rFonts w:hint="eastAsia"/>
          <w:color w:val="auto"/>
          <w:sz w:val="36"/>
          <w:u w:val="none" w:color="auto"/>
        </w:rPr>
        <w:t>税</w:t>
      </w:r>
      <w:r>
        <w:rPr>
          <w:rFonts w:hint="eastAsia"/>
          <w:color w:val="auto"/>
          <w:sz w:val="36"/>
          <w:u w:val="none" w:color="auto"/>
        </w:rPr>
        <w:t xml:space="preserve"> </w:t>
      </w:r>
      <w:r>
        <w:rPr>
          <w:rFonts w:hint="eastAsia"/>
          <w:color w:val="auto"/>
          <w:sz w:val="36"/>
          <w:u w:val="none" w:color="auto"/>
        </w:rPr>
        <w:t>事</w:t>
      </w:r>
      <w:r>
        <w:rPr>
          <w:rFonts w:hint="eastAsia"/>
          <w:color w:val="auto"/>
          <w:sz w:val="36"/>
          <w:u w:val="none" w:color="auto"/>
        </w:rPr>
        <w:t xml:space="preserve"> </w:t>
      </w:r>
      <w:r>
        <w:rPr>
          <w:rFonts w:hint="eastAsia"/>
          <w:color w:val="auto"/>
          <w:sz w:val="36"/>
          <w:u w:val="none" w:color="auto"/>
        </w:rPr>
        <w:t>業</w:t>
      </w:r>
      <w:r>
        <w:rPr>
          <w:rFonts w:hint="eastAsia"/>
          <w:color w:val="auto"/>
          <w:sz w:val="36"/>
          <w:u w:val="none" w:color="auto"/>
        </w:rPr>
        <w:t xml:space="preserve"> </w:t>
      </w:r>
      <w:r>
        <w:rPr>
          <w:rFonts w:hint="eastAsia"/>
          <w:color w:val="auto"/>
          <w:sz w:val="36"/>
          <w:u w:val="none" w:color="auto"/>
        </w:rPr>
        <w:t>者</w:t>
      </w:r>
      <w:r>
        <w:rPr>
          <w:rFonts w:hint="eastAsia"/>
          <w:color w:val="auto"/>
          <w:sz w:val="36"/>
          <w:u w:val="none" w:color="auto"/>
        </w:rPr>
        <w:t xml:space="preserve"> </w:t>
      </w:r>
      <w:r>
        <w:rPr>
          <w:rFonts w:hint="eastAsia"/>
          <w:color w:val="auto"/>
          <w:sz w:val="36"/>
          <w:u w:val="none" w:color="auto"/>
        </w:rPr>
        <w:t>届</w:t>
      </w:r>
      <w:r>
        <w:rPr>
          <w:rFonts w:hint="eastAsia"/>
          <w:color w:val="auto"/>
          <w:sz w:val="36"/>
          <w:u w:val="none" w:color="auto"/>
        </w:rPr>
        <w:t xml:space="preserve"> </w:t>
      </w:r>
      <w:r>
        <w:rPr>
          <w:rFonts w:hint="eastAsia"/>
          <w:color w:val="auto"/>
          <w:sz w:val="36"/>
          <w:u w:val="none" w:color="auto"/>
        </w:rPr>
        <w:t>出</w:t>
      </w:r>
      <w:r>
        <w:rPr>
          <w:rFonts w:hint="eastAsia"/>
          <w:color w:val="auto"/>
          <w:sz w:val="36"/>
          <w:u w:val="none" w:color="auto"/>
        </w:rPr>
        <w:t xml:space="preserve"> </w:t>
      </w:r>
      <w:r>
        <w:rPr>
          <w:rFonts w:hint="eastAsia"/>
          <w:color w:val="auto"/>
          <w:sz w:val="36"/>
          <w:u w:val="none" w:color="auto"/>
        </w:rPr>
        <w:t>書</w:t>
      </w:r>
    </w:p>
    <w:p>
      <w:pPr>
        <w:pStyle w:val="0"/>
        <w:rPr>
          <w:rFonts w:hint="eastAsia" w:ascii="ＭＳ 明朝" w:hAnsi="ＭＳ 明朝" w:eastAsia="ＭＳ 明朝"/>
          <w:color w:val="auto"/>
          <w:sz w:val="21"/>
          <w:u w:val="dotted" w:color="auto"/>
        </w:rPr>
      </w:pPr>
    </w:p>
    <w:p>
      <w:pPr>
        <w:pStyle w:val="0"/>
        <w:rPr>
          <w:rFonts w:hint="eastAsia" w:ascii="ＭＳ 明朝" w:hAnsi="ＭＳ 明朝" w:eastAsia="ＭＳ 明朝"/>
          <w:color w:val="auto"/>
          <w:sz w:val="21"/>
        </w:rPr>
      </w:pPr>
    </w:p>
    <w:p>
      <w:pPr>
        <w:pStyle w:val="0"/>
        <w:rPr>
          <w:rFonts w:hint="eastAsia" w:ascii="ＭＳ 明朝" w:hAnsi="ＭＳ 明朝" w:eastAsia="ＭＳ 明朝"/>
          <w:color w:val="auto"/>
          <w:sz w:val="21"/>
        </w:rPr>
      </w:pPr>
    </w:p>
    <w:p>
      <w:pPr>
        <w:pStyle w:val="0"/>
        <w:ind w:left="210" w:hanging="210" w:hangingChars="100"/>
        <w:rPr>
          <w:rFonts w:hint="eastAsia" w:ascii="ＭＳ 明朝" w:hAnsi="ＭＳ 明朝" w:eastAsia="ＭＳ 明朝"/>
          <w:color w:val="auto"/>
          <w:sz w:val="21"/>
        </w:rPr>
      </w:pPr>
      <w:r>
        <w:rPr>
          <w:rFonts w:hint="eastAsia" w:ascii="ＭＳ 明朝" w:hAnsi="ＭＳ 明朝" w:eastAsia="ＭＳ 明朝"/>
          <w:color w:val="auto"/>
          <w:sz w:val="21"/>
        </w:rPr>
        <w:t>　　下記の期間については、消費税法の免税事業者（同法第９条第１項本文の規定により消費税を</w:t>
      </w:r>
    </w:p>
    <w:p>
      <w:pPr>
        <w:pStyle w:val="0"/>
        <w:ind w:left="210" w:leftChars="100" w:firstLine="0" w:firstLineChars="0"/>
        <w:rPr>
          <w:rFonts w:hint="eastAsia" w:ascii="ＭＳ 明朝" w:hAnsi="ＭＳ 明朝" w:eastAsia="ＭＳ 明朝"/>
          <w:color w:val="auto"/>
          <w:sz w:val="21"/>
        </w:rPr>
      </w:pPr>
      <w:r>
        <w:rPr>
          <w:rFonts w:hint="eastAsia" w:ascii="ＭＳ 明朝" w:hAnsi="ＭＳ 明朝" w:eastAsia="ＭＳ 明朝"/>
          <w:color w:val="auto"/>
          <w:sz w:val="21"/>
        </w:rPr>
        <w:t>納める義務が免除されている事業者）であるので、その旨届出します。</w:t>
      </w:r>
    </w:p>
    <w:p>
      <w:pPr>
        <w:pStyle w:val="0"/>
        <w:rPr>
          <w:rFonts w:hint="eastAsia" w:ascii="ＭＳ 明朝" w:hAnsi="ＭＳ 明朝" w:eastAsia="ＭＳ 明朝"/>
          <w:color w:val="auto"/>
          <w:sz w:val="21"/>
        </w:rPr>
      </w:pPr>
    </w:p>
    <w:p>
      <w:pPr>
        <w:pStyle w:val="0"/>
        <w:rPr>
          <w:rFonts w:hint="eastAsia" w:ascii="ＭＳ 明朝" w:hAnsi="ＭＳ 明朝" w:eastAsia="ＭＳ 明朝"/>
          <w:color w:val="auto"/>
          <w:sz w:val="21"/>
        </w:rPr>
      </w:pPr>
    </w:p>
    <w:p>
      <w:pPr>
        <w:pStyle w:val="0"/>
        <w:rPr>
          <w:rFonts w:hint="eastAsia" w:ascii="ＭＳ 明朝" w:hAnsi="ＭＳ 明朝" w:eastAsia="ＭＳ 明朝"/>
          <w:color w:val="auto"/>
          <w:sz w:val="21"/>
        </w:rPr>
      </w:pPr>
    </w:p>
    <w:p>
      <w:pPr>
        <w:pStyle w:val="0"/>
        <w:jc w:val="center"/>
        <w:rPr>
          <w:rFonts w:hint="eastAsia" w:ascii="ＭＳ 明朝" w:hAnsi="ＭＳ 明朝" w:eastAsia="ＭＳ 明朝"/>
          <w:color w:val="auto"/>
          <w:sz w:val="21"/>
        </w:rPr>
      </w:pPr>
      <w:r>
        <w:rPr>
          <w:rFonts w:hint="eastAsia" w:ascii="ＭＳ 明朝" w:hAnsi="ＭＳ 明朝" w:eastAsia="ＭＳ 明朝"/>
          <w:color w:val="auto"/>
          <w:sz w:val="21"/>
        </w:rPr>
        <w:t>記</w:t>
      </w:r>
    </w:p>
    <w:p>
      <w:pPr>
        <w:pStyle w:val="0"/>
        <w:rPr>
          <w:rFonts w:hint="eastAsia" w:ascii="ＭＳ 明朝" w:hAnsi="ＭＳ 明朝" w:eastAsia="ＭＳ 明朝"/>
          <w:color w:val="auto"/>
          <w:sz w:val="21"/>
        </w:rPr>
      </w:pPr>
    </w:p>
    <w:p>
      <w:pPr>
        <w:pStyle w:val="0"/>
        <w:rPr>
          <w:rFonts w:hint="eastAsia" w:ascii="ＭＳ 明朝" w:hAnsi="ＭＳ 明朝" w:eastAsia="ＭＳ 明朝"/>
          <w:color w:val="auto"/>
          <w:sz w:val="21"/>
        </w:rPr>
      </w:pPr>
    </w:p>
    <w:p>
      <w:pPr>
        <w:pStyle w:val="0"/>
        <w:rPr>
          <w:rFonts w:hint="eastAsia" w:ascii="ＭＳ 明朝" w:hAnsi="ＭＳ 明朝" w:eastAsia="ＭＳ 明朝"/>
          <w:color w:val="auto"/>
          <w:sz w:val="21"/>
        </w:rPr>
      </w:pPr>
    </w:p>
    <w:p>
      <w:pPr>
        <w:pStyle w:val="0"/>
        <w:rPr>
          <w:rFonts w:hint="eastAsia" w:ascii="ＭＳ 明朝" w:hAnsi="ＭＳ 明朝" w:eastAsia="ＭＳ 明朝"/>
          <w:color w:val="auto"/>
          <w:sz w:val="21"/>
        </w:rPr>
      </w:pPr>
      <w:r>
        <w:rPr>
          <w:rFonts w:hint="eastAsia" w:ascii="ＭＳ 明朝" w:hAnsi="ＭＳ 明朝" w:eastAsia="ＭＳ 明朝"/>
          <w:color w:val="auto"/>
          <w:sz w:val="21"/>
        </w:rPr>
        <w:t>　　　　　　　　　　　　　　　自　　　　　　　　年　　　月　　　日</w:t>
      </w:r>
    </w:p>
    <w:p>
      <w:pPr>
        <w:pStyle w:val="0"/>
        <w:rPr>
          <w:rFonts w:hint="eastAsia" w:ascii="ＭＳ 明朝" w:hAnsi="ＭＳ 明朝" w:eastAsia="ＭＳ 明朝"/>
          <w:color w:val="auto"/>
          <w:sz w:val="21"/>
        </w:rPr>
      </w:pPr>
      <w:r>
        <w:rPr>
          <w:rFonts w:hint="eastAsia" w:ascii="ＭＳ 明朝" w:hAnsi="ＭＳ 明朝" w:eastAsia="ＭＳ 明朝"/>
          <w:color w:val="auto"/>
          <w:sz w:val="21"/>
        </w:rPr>
        <w:t>　　　　　課税期間</w:t>
      </w:r>
    </w:p>
    <w:p>
      <w:pPr>
        <w:pStyle w:val="0"/>
        <w:rPr>
          <w:rFonts w:hint="eastAsia" w:ascii="ＭＳ 明朝" w:hAnsi="ＭＳ 明朝" w:eastAsia="ＭＳ 明朝"/>
          <w:color w:val="auto"/>
          <w:sz w:val="21"/>
        </w:rPr>
      </w:pPr>
      <w:r>
        <w:rPr>
          <w:rFonts w:hint="eastAsia" w:ascii="ＭＳ 明朝" w:hAnsi="ＭＳ 明朝" w:eastAsia="ＭＳ 明朝"/>
          <w:color w:val="auto"/>
          <w:sz w:val="21"/>
        </w:rPr>
        <w:t>　　　　　　　　　　　　　　　至　　　　　　　　年　　　月　　　日</w:t>
      </w:r>
    </w:p>
    <w:p>
      <w:pPr>
        <w:pStyle w:val="0"/>
        <w:rPr>
          <w:rFonts w:hint="eastAsia" w:ascii="ＭＳ 明朝" w:hAnsi="ＭＳ 明朝" w:eastAsia="ＭＳ 明朝"/>
          <w:color w:val="auto"/>
          <w:sz w:val="21"/>
        </w:rPr>
      </w:pPr>
    </w:p>
    <w:p>
      <w:pPr>
        <w:pStyle w:val="0"/>
        <w:rPr>
          <w:rFonts w:hint="eastAsia" w:ascii="ＭＳ 明朝" w:hAnsi="ＭＳ 明朝" w:eastAsia="ＭＳ 明朝"/>
          <w:color w:val="auto"/>
          <w:sz w:val="21"/>
        </w:rPr>
      </w:pPr>
    </w:p>
    <w:p>
      <w:pPr>
        <w:pStyle w:val="0"/>
        <w:rPr>
          <w:rFonts w:hint="eastAsia" w:ascii="ＭＳ 明朝" w:hAnsi="ＭＳ 明朝" w:eastAsia="ＭＳ 明朝"/>
          <w:color w:val="auto"/>
          <w:sz w:val="21"/>
        </w:rPr>
      </w:pPr>
    </w:p>
    <w:sectPr>
      <w:pgSz w:w="11906" w:h="16838"/>
      <w:pgMar w:top="1417" w:right="1134" w:bottom="1417" w:left="1417" w:header="851" w:footer="992" w:gutter="0"/>
      <w:cols w:space="720"/>
      <w:textDirection w:val="lrTb"/>
      <w:docGrid w:type="lines" w:linePitch="31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imSun">
    <w:panose1 w:val="00000000000000000000"/>
    <w:charset w:val="80"/>
    <w:family w:val="auto"/>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UD デジタル 教科書体 NP-R">
    <w:panose1 w:val="00000000000000000000"/>
    <w:charset w:val="80"/>
    <w:family w:val="roman"/>
    <w:notTrueType/>
    <w:pitch w:val="fixed"/>
    <w:sig w:usb0="00000000" w:usb1="00000000" w:usb2="00000000" w:usb3="00000000" w:csb0="00820001" w:csb1="00000000"/>
  </w:font>
  <w:font w:name="ＭＳ ゴシック">
    <w:panose1 w:val="00000000000000000000"/>
    <w:charset w:val="80"/>
    <w:family w:val="modern"/>
    <w:notTrueType/>
    <w:pitch w:val="fixed"/>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singleLevel"/>
    <w:tmpl w:val="60A9D619"/>
    <w:lvl w:ilvl="0">
      <w:start w:val="5"/>
      <w:numFmt w:val="decimalFullWidth"/>
      <w:suff w:val="nothing"/>
      <w:lvlText w:val="第%1条"/>
      <w:lvlJc w:val="left"/>
    </w:lvl>
  </w:abstractNum>
  <w:abstractNum w:abstractNumId="1">
    <w:nsid w:val="00000002"/>
    <w:multiLevelType w:val="singleLevel"/>
    <w:tmpl w:val="60A9C6C8"/>
    <w:lvl w:ilvl="0">
      <w:start w:val="25"/>
      <w:numFmt w:val="decimal"/>
      <w:suff w:val="space"/>
      <w:lvlText w:val="第%1条"/>
      <w:lvlJc w:val="left"/>
    </w:lvl>
  </w:abstractNum>
  <w:num w:numId="1">
    <w:abstractNumId w:val="0"/>
  </w:num>
  <w:num w:numId="2">
    <w:abstractNumId w:val="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efaultTabStop w:val="420"/>
  <w:drawingGridVerticalSpacing w:val="156"/>
  <w:noPunctuationKerning/>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imes New Roman" w:hAnsi="Times New Roman" w:eastAsia="SimSun"/>
      </w:rPr>
    </w:rPrDefault>
    <w:pPrDefault/>
  </w:docDefaults>
  <w:style w:type="paragraph" w:styleId="0" w:default="1">
    <w:name w:val="Normal"/>
    <w:next w:val="0"/>
    <w:link w:val="0"/>
    <w:uiPriority w:val="0"/>
    <w:qFormat/>
    <w:pPr>
      <w:widowControl w:val="0"/>
      <w:jc w:val="both"/>
    </w:pPr>
    <w:rPr>
      <w:rFonts w:asciiTheme="minorHAnsi" w:hAnsiTheme="minorHAnsi" w:eastAsiaTheme="minorEastAsia"/>
      <w:kern w:val="2"/>
      <w:sz w:val="21"/>
    </w:rPr>
  </w:style>
  <w:style w:type="character" w:styleId="10" w:default="1">
    <w:name w:val="Default Paragraph Font"/>
    <w:next w:val="10"/>
    <w:link w:val="0"/>
    <w:uiPriority w:val="0"/>
    <w:semiHidden/>
    <w:qFormat/>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footer"/>
    <w:basedOn w:val="0"/>
    <w:next w:val="17"/>
    <w:link w:val="0"/>
    <w:uiPriority w:val="0"/>
    <w:qFormat/>
    <w:pPr>
      <w:keepNext w:val="0"/>
      <w:pageBreakBefore w:val="0"/>
      <w:widowControl w:val="0"/>
      <w:suppressLineNumbers w:val="0"/>
      <w:tabs>
        <w:tab w:val="center" w:leader="none" w:pos="4252"/>
        <w:tab w:val="right" w:leader="none" w:pos="8504"/>
      </w:tabs>
      <w:suppressAutoHyphens w:val="0"/>
      <w:overflowPunct w:val="1"/>
      <w:topLinePunct w:val="0"/>
      <w:autoSpaceDE w:val="1"/>
      <w:autoSpaceDN w:val="1"/>
      <w:adjustRightInd w:val="1"/>
      <w:snapToGrid w:val="0"/>
      <w:spacing w:before="0" w:beforeLines="0" w:beforeAutospacing="0" w:after="0" w:afterLines="0" w:afterAutospacing="0" w:line="240" w:lineRule="auto"/>
      <w:ind w:leftChars="0" w:rightChars="0" w:firstLineChars="0"/>
      <w:contextualSpacing w:val="0"/>
      <w:mirrorIndents w:val="0"/>
      <w:jc w:val="both"/>
      <w:outlineLvl w:val="9"/>
      <w15:collapsed w:val="0"/>
    </w:pPr>
    <w:rPr>
      <w:rFonts w:ascii="Century" w:hAnsi="Century" w:eastAsia="ＭＳ 明朝"/>
      <w:dstrike w:val="0"/>
      <w:color w:val="auto"/>
      <w:w w:val="100"/>
      <w:kern w:val="2"/>
      <w:sz w:val="18"/>
      <w:highlight w:val="none"/>
      <w:u w:val="none" w:color="auto"/>
      <w:bdr w:val="none" w:color="auto" w:sz="0" w:space="0"/>
      <w:shd w:val="clear" w:color="auto" w:fill="auto"/>
      <w:vertAlign w:val="baseline"/>
      <w:em w:val="none"/>
    </w:rPr>
  </w:style>
  <w:style w:type="paragraph" w:styleId="18">
    <w:name w:val="Note Heading"/>
    <w:basedOn w:val="0"/>
    <w:next w:val="0"/>
    <w:link w:val="19"/>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center"/>
      <w:outlineLvl w:val="9"/>
      <w15:collapsed w:val="0"/>
    </w:pPr>
    <w:rPr>
      <w:rFonts w:ascii="ＭＳ 明朝" w:hAnsi="ＭＳ 明朝" w:eastAsia="ＭＳ 明朝"/>
      <w:dstrike w:val="0"/>
      <w:color w:val="auto"/>
      <w:spacing w:val="1"/>
      <w:w w:val="100"/>
      <w:kern w:val="2"/>
      <w:sz w:val="21"/>
      <w:highlight w:val="none"/>
      <w:u w:val="none" w:color="auto"/>
      <w:bdr w:val="none" w:color="auto" w:sz="0" w:space="0"/>
      <w:shd w:val="clear" w:color="auto" w:fill="auto"/>
      <w:vertAlign w:val="baseline"/>
      <w:em w:val="none"/>
    </w:rPr>
  </w:style>
  <w:style w:type="character" w:styleId="19" w:customStyle="1">
    <w:name w:val="記 (文字)"/>
    <w:basedOn w:val="10"/>
    <w:next w:val="19"/>
    <w:link w:val="18"/>
    <w:uiPriority w:val="0"/>
    <w:rPr>
      <w:rFonts w:ascii="ＭＳ 明朝" w:hAnsi="ＭＳ 明朝"/>
      <w:spacing w:val="1"/>
      <w:kern w:val="2"/>
      <w:sz w:val="21"/>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entur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230</TotalTime>
  <Pages>13</Pages>
  <Words>81</Words>
  <Characters>7556</Characters>
  <Application>JUST Note</Application>
  <Lines>820</Lines>
  <Paragraphs>216</Paragraphs>
  <CharactersWithSpaces>8084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ogawa</dc:creator>
  <cp:lastModifiedBy>鍋島 奨太</cp:lastModifiedBy>
  <cp:lastPrinted>2026-03-02T05:06:49Z</cp:lastPrinted>
  <dcterms:created xsi:type="dcterms:W3CDTF">2021-04-17T15:59:00Z</dcterms:created>
  <dcterms:modified xsi:type="dcterms:W3CDTF">2026-03-02T05:38:11Z</dcterms:modified>
  <cp:revision>3</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1041-10.8.0.5771</vt:lpwstr>
  </property>
</Properties>
</file>